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ascii="黑体" w:hAnsi="宋体" w:eastAsia="黑体"/>
          <w:sz w:val="32"/>
          <w:szCs w:val="32"/>
          <w:lang w:bidi="ar"/>
        </w:rPr>
      </w:pPr>
      <w:r>
        <w:rPr>
          <w:rFonts w:ascii="黑体" w:hAnsi="宋体" w:eastAsia="黑体"/>
          <w:sz w:val="32"/>
          <w:szCs w:val="32"/>
          <w:lang w:bidi="ar"/>
        </w:rPr>
        <w:t>附件</w:t>
      </w:r>
    </w:p>
    <w:p>
      <w:pPr>
        <w:widowControl/>
        <w:spacing w:line="580" w:lineRule="exact"/>
        <w:jc w:val="left"/>
        <w:rPr>
          <w:rFonts w:ascii="黑体" w:hAnsi="宋体" w:eastAsia="黑体"/>
          <w:sz w:val="32"/>
          <w:szCs w:val="32"/>
          <w:lang w:bidi="ar"/>
        </w:rPr>
      </w:pPr>
    </w:p>
    <w:p>
      <w:pPr>
        <w:widowControl/>
        <w:spacing w:line="580" w:lineRule="exact"/>
        <w:jc w:val="left"/>
        <w:rPr>
          <w:rFonts w:ascii="黑体" w:hAnsi="宋体" w:eastAsia="黑体"/>
          <w:sz w:val="32"/>
          <w:szCs w:val="32"/>
          <w:lang w:bidi="ar"/>
        </w:rPr>
      </w:pPr>
    </w:p>
    <w:p>
      <w:pPr>
        <w:spacing w:line="580" w:lineRule="exact"/>
        <w:rPr>
          <w:rFonts w:ascii="仿宋" w:hAnsi="仿宋" w:eastAsia="仿宋" w:cs="仿宋"/>
          <w:sz w:val="32"/>
          <w:szCs w:val="32"/>
          <w:lang w:bidi="ar"/>
        </w:rPr>
      </w:pPr>
    </w:p>
    <w:p>
      <w:pPr>
        <w:spacing w:line="580" w:lineRule="exact"/>
        <w:jc w:val="center"/>
        <w:rPr>
          <w:rFonts w:ascii="黑体" w:hAnsi="黑体" w:eastAsia="黑体"/>
          <w:sz w:val="36"/>
          <w:szCs w:val="36"/>
        </w:rPr>
      </w:pPr>
      <w:r>
        <w:rPr>
          <w:rFonts w:hint="eastAsia" w:ascii="宋体" w:hAnsi="宋体" w:cs="宋体"/>
          <w:b/>
          <w:sz w:val="44"/>
          <w:szCs w:val="44"/>
          <w:lang w:bidi="ar"/>
        </w:rPr>
        <w:t>大宗商品现货清算业务指南</w:t>
      </w:r>
    </w:p>
    <w:p>
      <w:pPr>
        <w:spacing w:line="580" w:lineRule="exact"/>
        <w:jc w:val="center"/>
        <w:rPr>
          <w:rFonts w:ascii="仿宋_GB2312" w:eastAsia="仿宋_GB2312" w:cs="仿宋_GB2312"/>
          <w:kern w:val="0"/>
          <w:sz w:val="32"/>
          <w:szCs w:val="32"/>
          <w:lang w:bidi="ar"/>
        </w:rPr>
      </w:pPr>
      <w:r>
        <w:rPr>
          <w:rFonts w:hint="eastAsia" w:ascii="仿宋" w:hAnsi="仿宋" w:eastAsia="仿宋" w:cs="仿宋"/>
          <w:sz w:val="32"/>
          <w:szCs w:val="32"/>
          <w:lang w:bidi="ar"/>
        </w:rPr>
        <w:t>（</w:t>
      </w:r>
      <w:r>
        <w:rPr>
          <w:rFonts w:ascii="仿宋" w:hAnsi="仿宋" w:eastAsia="仿宋" w:cs="仿宋"/>
          <w:sz w:val="32"/>
          <w:szCs w:val="32"/>
          <w:lang w:bidi="ar"/>
        </w:rPr>
        <w:t>2023年5月修订</w:t>
      </w:r>
      <w:r>
        <w:rPr>
          <w:rFonts w:hint="eastAsia" w:ascii="仿宋" w:hAnsi="仿宋" w:eastAsia="仿宋" w:cs="仿宋"/>
          <w:sz w:val="32"/>
          <w:szCs w:val="32"/>
          <w:lang w:bidi="ar"/>
        </w:rPr>
        <w:t>版</w:t>
      </w:r>
      <w:r>
        <w:rPr>
          <w:rFonts w:ascii="仿宋" w:hAnsi="仿宋" w:eastAsia="仿宋" w:cs="仿宋"/>
          <w:sz w:val="32"/>
          <w:szCs w:val="32"/>
          <w:lang w:bidi="ar"/>
        </w:rPr>
        <w:t>）</w:t>
      </w:r>
    </w:p>
    <w:p>
      <w:pPr>
        <w:spacing w:line="580" w:lineRule="exact"/>
        <w:jc w:val="center"/>
        <w:rPr>
          <w:rFonts w:ascii="黑体" w:hAnsi="黑体" w:eastAsia="黑体"/>
          <w:sz w:val="36"/>
          <w:szCs w:val="36"/>
        </w:rPr>
      </w:pPr>
    </w:p>
    <w:p>
      <w:pPr>
        <w:spacing w:line="580" w:lineRule="exact"/>
        <w:jc w:val="center"/>
        <w:rPr>
          <w:rFonts w:ascii="黑体" w:hAnsi="黑体" w:eastAsia="黑体"/>
          <w:sz w:val="36"/>
          <w:szCs w:val="36"/>
        </w:rPr>
      </w:pPr>
    </w:p>
    <w:p>
      <w:pPr>
        <w:spacing w:line="580" w:lineRule="exact"/>
        <w:jc w:val="center"/>
        <w:rPr>
          <w:rFonts w:ascii="黑体" w:hAnsi="黑体" w:eastAsia="黑体"/>
          <w:sz w:val="36"/>
          <w:szCs w:val="36"/>
        </w:rPr>
      </w:pPr>
    </w:p>
    <w:p>
      <w:pPr>
        <w:spacing w:line="580" w:lineRule="exact"/>
        <w:jc w:val="center"/>
        <w:rPr>
          <w:rFonts w:ascii="黑体" w:hAnsi="黑体" w:eastAsia="黑体"/>
          <w:sz w:val="36"/>
          <w:szCs w:val="36"/>
        </w:rPr>
      </w:pPr>
    </w:p>
    <w:p>
      <w:pPr>
        <w:spacing w:line="580" w:lineRule="exact"/>
        <w:jc w:val="center"/>
        <w:rPr>
          <w:rFonts w:ascii="黑体" w:hAnsi="黑体" w:eastAsia="黑体"/>
          <w:sz w:val="36"/>
          <w:szCs w:val="36"/>
        </w:rPr>
      </w:pPr>
    </w:p>
    <w:p>
      <w:pPr>
        <w:spacing w:line="580" w:lineRule="exact"/>
        <w:jc w:val="center"/>
        <w:rPr>
          <w:rFonts w:ascii="黑体" w:hAnsi="黑体" w:eastAsia="黑体"/>
          <w:sz w:val="36"/>
          <w:szCs w:val="36"/>
        </w:rPr>
      </w:pPr>
    </w:p>
    <w:p>
      <w:pPr>
        <w:spacing w:line="580" w:lineRule="exact"/>
        <w:jc w:val="center"/>
        <w:rPr>
          <w:rFonts w:ascii="黑体" w:hAnsi="黑体" w:eastAsia="黑体"/>
          <w:sz w:val="36"/>
          <w:szCs w:val="36"/>
        </w:rPr>
      </w:pPr>
    </w:p>
    <w:p>
      <w:pPr>
        <w:spacing w:line="580" w:lineRule="exact"/>
        <w:jc w:val="center"/>
        <w:rPr>
          <w:rFonts w:ascii="黑体" w:hAnsi="黑体" w:eastAsia="黑体"/>
          <w:sz w:val="36"/>
          <w:szCs w:val="36"/>
        </w:rPr>
      </w:pPr>
    </w:p>
    <w:p>
      <w:pPr>
        <w:spacing w:line="580" w:lineRule="exact"/>
        <w:jc w:val="center"/>
        <w:rPr>
          <w:rFonts w:ascii="黑体" w:hAnsi="黑体" w:eastAsia="黑体"/>
          <w:sz w:val="30"/>
          <w:szCs w:val="30"/>
        </w:rPr>
      </w:pPr>
    </w:p>
    <w:p>
      <w:pPr>
        <w:spacing w:line="580" w:lineRule="exact"/>
        <w:jc w:val="center"/>
        <w:rPr>
          <w:rFonts w:ascii="仿宋" w:hAnsi="仿宋" w:eastAsia="仿宋"/>
          <w:sz w:val="30"/>
          <w:szCs w:val="30"/>
        </w:rPr>
        <w:sectPr>
          <w:footerReference r:id="rId3" w:type="default"/>
          <w:pgSz w:w="11906" w:h="16838"/>
          <w:pgMar w:top="1440" w:right="1800" w:bottom="1440" w:left="1800" w:header="851" w:footer="992" w:gutter="0"/>
          <w:cols w:space="425" w:num="1"/>
          <w:docGrid w:type="lines" w:linePitch="312" w:charSpace="0"/>
        </w:sectPr>
      </w:pPr>
    </w:p>
    <w:sdt>
      <w:sdtPr>
        <w:rPr>
          <w:rFonts w:ascii="Times New Roman" w:hAnsi="Times New Roman" w:eastAsia="黑体" w:cs="Times New Roman"/>
          <w:kern w:val="0"/>
          <w:sz w:val="30"/>
          <w:szCs w:val="30"/>
        </w:rPr>
        <w:id w:val="1763173709"/>
        <w:docPartObj>
          <w:docPartGallery w:val="Table of Contents"/>
          <w:docPartUnique/>
        </w:docPartObj>
      </w:sdtPr>
      <w:sdtEndPr>
        <w:rPr>
          <w:rFonts w:ascii="仿宋" w:hAnsi="仿宋" w:eastAsia="仿宋" w:cs="黑体"/>
          <w:b/>
          <w:bCs/>
          <w:kern w:val="2"/>
          <w:sz w:val="30"/>
          <w:szCs w:val="30"/>
          <w:lang w:val="zh-CN"/>
        </w:rPr>
      </w:sdtEndPr>
      <w:sdtContent>
        <w:p>
          <w:pPr>
            <w:spacing w:before="156" w:beforeLines="50" w:after="156" w:afterLines="50" w:line="580" w:lineRule="exact"/>
            <w:jc w:val="center"/>
            <w:rPr>
              <w:rFonts w:ascii="Times New Roman" w:hAnsi="Times New Roman" w:eastAsia="黑体"/>
              <w:sz w:val="30"/>
              <w:szCs w:val="30"/>
            </w:rPr>
          </w:pPr>
          <w:r>
            <w:rPr>
              <w:rFonts w:hint="eastAsia" w:ascii="黑体" w:hAnsi="黑体" w:eastAsia="黑体" w:cs="Times New Roman"/>
              <w:kern w:val="0"/>
              <w:sz w:val="32"/>
              <w:szCs w:val="30"/>
            </w:rPr>
            <w:t>目  录</w:t>
          </w:r>
        </w:p>
        <w:p>
          <w:pPr>
            <w:pStyle w:val="18"/>
            <w:tabs>
              <w:tab w:val="left" w:pos="1470"/>
              <w:tab w:val="right" w:leader="dot" w:pos="8296"/>
            </w:tabs>
            <w:spacing w:line="580" w:lineRule="exact"/>
            <w:rPr>
              <w:rFonts w:ascii="仿宋" w:hAnsi="仿宋" w:eastAsia="仿宋" w:cstheme="minorBidi"/>
              <w:sz w:val="32"/>
              <w:szCs w:val="32"/>
            </w:rPr>
          </w:pPr>
          <w:r>
            <w:rPr>
              <w:rFonts w:ascii="仿宋" w:hAnsi="仿宋" w:eastAsia="仿宋"/>
              <w:b/>
              <w:bCs/>
              <w:sz w:val="32"/>
              <w:szCs w:val="32"/>
              <w:lang w:val="zh-CN"/>
            </w:rPr>
            <w:fldChar w:fldCharType="begin"/>
          </w:r>
          <w:r>
            <w:rPr>
              <w:rFonts w:ascii="仿宋" w:hAnsi="仿宋" w:eastAsia="仿宋"/>
              <w:b/>
              <w:bCs/>
              <w:sz w:val="32"/>
              <w:szCs w:val="32"/>
              <w:lang w:val="zh-CN"/>
            </w:rPr>
            <w:instrText xml:space="preserve"> TOC \o "1-3" \h \z \u </w:instrText>
          </w:r>
          <w:r>
            <w:rPr>
              <w:rFonts w:ascii="仿宋" w:hAnsi="仿宋" w:eastAsia="仿宋"/>
              <w:b/>
              <w:bCs/>
              <w:sz w:val="32"/>
              <w:szCs w:val="32"/>
              <w:lang w:val="zh-CN"/>
            </w:rPr>
            <w:fldChar w:fldCharType="separate"/>
          </w:r>
          <w:r>
            <w:fldChar w:fldCharType="begin"/>
          </w:r>
          <w:r>
            <w:instrText xml:space="preserve"> HYPERLINK \l "_Toc134628732" </w:instrText>
          </w:r>
          <w:r>
            <w:fldChar w:fldCharType="separate"/>
          </w:r>
          <w:r>
            <w:rPr>
              <w:rStyle w:val="24"/>
              <w:rFonts w:hint="eastAsia" w:ascii="仿宋" w:hAnsi="仿宋" w:eastAsia="仿宋"/>
              <w:sz w:val="32"/>
              <w:szCs w:val="32"/>
            </w:rPr>
            <w:t>第一章</w:t>
          </w:r>
          <w:r>
            <w:rPr>
              <w:rFonts w:ascii="仿宋" w:hAnsi="仿宋" w:eastAsia="仿宋" w:cstheme="minorBidi"/>
              <w:sz w:val="32"/>
              <w:szCs w:val="32"/>
            </w:rPr>
            <w:tab/>
          </w:r>
          <w:r>
            <w:rPr>
              <w:rStyle w:val="24"/>
              <w:rFonts w:hint="eastAsia" w:ascii="仿宋" w:hAnsi="仿宋" w:eastAsia="仿宋"/>
              <w:sz w:val="32"/>
              <w:szCs w:val="32"/>
            </w:rPr>
            <w:t>总则</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_Toc134628732 \h </w:instrText>
          </w:r>
          <w:r>
            <w:rPr>
              <w:rFonts w:ascii="仿宋" w:hAnsi="仿宋" w:eastAsia="仿宋"/>
              <w:sz w:val="32"/>
              <w:szCs w:val="32"/>
            </w:rPr>
            <w:fldChar w:fldCharType="separate"/>
          </w:r>
          <w:r>
            <w:rPr>
              <w:rFonts w:ascii="仿宋" w:hAnsi="仿宋" w:eastAsia="仿宋"/>
              <w:sz w:val="32"/>
              <w:szCs w:val="32"/>
            </w:rPr>
            <w:t>3</w:t>
          </w:r>
          <w:r>
            <w:rPr>
              <w:rFonts w:ascii="仿宋" w:hAnsi="仿宋" w:eastAsia="仿宋"/>
              <w:sz w:val="32"/>
              <w:szCs w:val="32"/>
            </w:rPr>
            <w:fldChar w:fldCharType="end"/>
          </w:r>
          <w:r>
            <w:rPr>
              <w:rFonts w:ascii="仿宋" w:hAnsi="仿宋" w:eastAsia="仿宋"/>
              <w:sz w:val="32"/>
              <w:szCs w:val="32"/>
            </w:rPr>
            <w:fldChar w:fldCharType="end"/>
          </w:r>
        </w:p>
        <w:p>
          <w:pPr>
            <w:pStyle w:val="18"/>
            <w:tabs>
              <w:tab w:val="left" w:pos="1470"/>
              <w:tab w:val="right" w:leader="dot" w:pos="8296"/>
            </w:tabs>
            <w:spacing w:line="580" w:lineRule="exact"/>
            <w:rPr>
              <w:rFonts w:ascii="仿宋" w:hAnsi="仿宋" w:eastAsia="仿宋" w:cstheme="minorBidi"/>
              <w:sz w:val="32"/>
              <w:szCs w:val="32"/>
            </w:rPr>
          </w:pPr>
          <w:r>
            <w:fldChar w:fldCharType="begin"/>
          </w:r>
          <w:r>
            <w:instrText xml:space="preserve"> HYPERLINK \l "_Toc134628734" </w:instrText>
          </w:r>
          <w:r>
            <w:fldChar w:fldCharType="separate"/>
          </w:r>
          <w:r>
            <w:rPr>
              <w:rStyle w:val="24"/>
              <w:rFonts w:hint="eastAsia" w:ascii="仿宋" w:hAnsi="仿宋" w:eastAsia="仿宋"/>
              <w:sz w:val="32"/>
              <w:szCs w:val="32"/>
            </w:rPr>
            <w:t>第二章</w:t>
          </w:r>
          <w:r>
            <w:rPr>
              <w:rFonts w:ascii="仿宋" w:hAnsi="仿宋" w:eastAsia="仿宋" w:cstheme="minorBidi"/>
              <w:sz w:val="32"/>
              <w:szCs w:val="32"/>
            </w:rPr>
            <w:tab/>
          </w:r>
          <w:r>
            <w:rPr>
              <w:rStyle w:val="24"/>
              <w:rFonts w:hint="eastAsia" w:ascii="仿宋" w:hAnsi="仿宋" w:eastAsia="仿宋"/>
              <w:sz w:val="32"/>
              <w:szCs w:val="32"/>
            </w:rPr>
            <w:t>清算产品</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_Toc134628734 \h </w:instrText>
          </w:r>
          <w:r>
            <w:rPr>
              <w:rFonts w:ascii="仿宋" w:hAnsi="仿宋" w:eastAsia="仿宋"/>
              <w:sz w:val="32"/>
              <w:szCs w:val="32"/>
            </w:rPr>
            <w:fldChar w:fldCharType="separate"/>
          </w:r>
          <w:r>
            <w:rPr>
              <w:rFonts w:ascii="仿宋" w:hAnsi="仿宋" w:eastAsia="仿宋"/>
              <w:sz w:val="32"/>
              <w:szCs w:val="32"/>
            </w:rPr>
            <w:t>4</w:t>
          </w:r>
          <w:r>
            <w:rPr>
              <w:rFonts w:ascii="仿宋" w:hAnsi="仿宋" w:eastAsia="仿宋"/>
              <w:sz w:val="32"/>
              <w:szCs w:val="32"/>
            </w:rPr>
            <w:fldChar w:fldCharType="end"/>
          </w:r>
          <w:r>
            <w:rPr>
              <w:rFonts w:ascii="仿宋" w:hAnsi="仿宋" w:eastAsia="仿宋"/>
              <w:sz w:val="32"/>
              <w:szCs w:val="32"/>
            </w:rPr>
            <w:fldChar w:fldCharType="end"/>
          </w:r>
        </w:p>
        <w:p>
          <w:pPr>
            <w:pStyle w:val="18"/>
            <w:tabs>
              <w:tab w:val="left" w:pos="1470"/>
              <w:tab w:val="right" w:leader="dot" w:pos="8296"/>
            </w:tabs>
            <w:spacing w:line="580" w:lineRule="exact"/>
            <w:rPr>
              <w:rFonts w:ascii="仿宋" w:hAnsi="仿宋" w:eastAsia="仿宋" w:cstheme="minorBidi"/>
              <w:sz w:val="32"/>
              <w:szCs w:val="32"/>
            </w:rPr>
          </w:pPr>
          <w:r>
            <w:fldChar w:fldCharType="begin"/>
          </w:r>
          <w:r>
            <w:instrText xml:space="preserve"> HYPERLINK \l "_Toc134628735" </w:instrText>
          </w:r>
          <w:r>
            <w:fldChar w:fldCharType="separate"/>
          </w:r>
          <w:r>
            <w:rPr>
              <w:rStyle w:val="24"/>
              <w:rFonts w:hint="eastAsia" w:ascii="仿宋" w:hAnsi="仿宋" w:eastAsia="仿宋"/>
              <w:sz w:val="32"/>
              <w:szCs w:val="32"/>
            </w:rPr>
            <w:t>第三章</w:t>
          </w:r>
          <w:r>
            <w:rPr>
              <w:rFonts w:ascii="仿宋" w:hAnsi="仿宋" w:eastAsia="仿宋" w:cstheme="minorBidi"/>
              <w:sz w:val="32"/>
              <w:szCs w:val="32"/>
            </w:rPr>
            <w:tab/>
          </w:r>
          <w:r>
            <w:rPr>
              <w:rStyle w:val="24"/>
              <w:rFonts w:hint="eastAsia" w:ascii="仿宋" w:hAnsi="仿宋" w:eastAsia="仿宋"/>
              <w:sz w:val="32"/>
              <w:szCs w:val="32"/>
            </w:rPr>
            <w:t>市场参与者</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_Toc134628735 \h </w:instrText>
          </w:r>
          <w:r>
            <w:rPr>
              <w:rFonts w:ascii="仿宋" w:hAnsi="仿宋" w:eastAsia="仿宋"/>
              <w:sz w:val="32"/>
              <w:szCs w:val="32"/>
            </w:rPr>
            <w:fldChar w:fldCharType="separate"/>
          </w:r>
          <w:r>
            <w:rPr>
              <w:rFonts w:ascii="仿宋" w:hAnsi="仿宋" w:eastAsia="仿宋"/>
              <w:sz w:val="32"/>
              <w:szCs w:val="32"/>
            </w:rPr>
            <w:t>4</w:t>
          </w:r>
          <w:r>
            <w:rPr>
              <w:rFonts w:ascii="仿宋" w:hAnsi="仿宋" w:eastAsia="仿宋"/>
              <w:sz w:val="32"/>
              <w:szCs w:val="32"/>
            </w:rPr>
            <w:fldChar w:fldCharType="end"/>
          </w:r>
          <w:r>
            <w:rPr>
              <w:rFonts w:ascii="仿宋" w:hAnsi="仿宋" w:eastAsia="仿宋"/>
              <w:sz w:val="32"/>
              <w:szCs w:val="32"/>
            </w:rPr>
            <w:fldChar w:fldCharType="end"/>
          </w:r>
        </w:p>
        <w:p>
          <w:pPr>
            <w:pStyle w:val="11"/>
            <w:tabs>
              <w:tab w:val="left" w:pos="1680"/>
              <w:tab w:val="right" w:leader="dot" w:pos="8296"/>
            </w:tabs>
            <w:spacing w:line="580" w:lineRule="exact"/>
            <w:ind w:firstLine="420" w:firstLineChars="200"/>
            <w:rPr>
              <w:rFonts w:ascii="仿宋" w:hAnsi="仿宋" w:eastAsia="仿宋" w:cstheme="minorBidi"/>
              <w:sz w:val="32"/>
              <w:szCs w:val="32"/>
            </w:rPr>
          </w:pPr>
          <w:r>
            <w:fldChar w:fldCharType="begin"/>
          </w:r>
          <w:r>
            <w:instrText xml:space="preserve"> HYPERLINK \l "_Toc134628736" </w:instrText>
          </w:r>
          <w:r>
            <w:fldChar w:fldCharType="separate"/>
          </w:r>
          <w:r>
            <w:rPr>
              <w:rStyle w:val="24"/>
              <w:rFonts w:hint="eastAsia" w:ascii="仿宋" w:hAnsi="仿宋" w:eastAsia="仿宋"/>
              <w:sz w:val="32"/>
              <w:szCs w:val="32"/>
            </w:rPr>
            <w:t>第一节</w:t>
          </w:r>
          <w:r>
            <w:rPr>
              <w:rStyle w:val="24"/>
              <w:rFonts w:hint="default" w:ascii="仿宋" w:hAnsi="仿宋" w:eastAsia="仿宋"/>
              <w:sz w:val="32"/>
              <w:szCs w:val="32"/>
              <w:woUserID w:val="2"/>
            </w:rPr>
            <w:t xml:space="preserve"> </w:t>
          </w:r>
          <w:bookmarkStart w:id="53" w:name="_GoBack"/>
          <w:bookmarkEnd w:id="53"/>
          <w:r>
            <w:rPr>
              <w:rStyle w:val="24"/>
              <w:rFonts w:hint="eastAsia" w:ascii="仿宋" w:hAnsi="仿宋" w:eastAsia="仿宋"/>
              <w:sz w:val="32"/>
              <w:szCs w:val="32"/>
            </w:rPr>
            <w:t>交易商</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_Toc134628736 \h </w:instrText>
          </w:r>
          <w:r>
            <w:rPr>
              <w:rFonts w:ascii="仿宋" w:hAnsi="仿宋" w:eastAsia="仿宋"/>
              <w:sz w:val="32"/>
              <w:szCs w:val="32"/>
            </w:rPr>
            <w:fldChar w:fldCharType="separate"/>
          </w:r>
          <w:r>
            <w:rPr>
              <w:rFonts w:ascii="仿宋" w:hAnsi="仿宋" w:eastAsia="仿宋"/>
              <w:sz w:val="32"/>
              <w:szCs w:val="32"/>
            </w:rPr>
            <w:t>4</w:t>
          </w:r>
          <w:r>
            <w:rPr>
              <w:rFonts w:ascii="仿宋" w:hAnsi="仿宋" w:eastAsia="仿宋"/>
              <w:sz w:val="32"/>
              <w:szCs w:val="32"/>
            </w:rPr>
            <w:fldChar w:fldCharType="end"/>
          </w:r>
          <w:r>
            <w:rPr>
              <w:rFonts w:ascii="仿宋" w:hAnsi="仿宋" w:eastAsia="仿宋"/>
              <w:sz w:val="32"/>
              <w:szCs w:val="32"/>
            </w:rPr>
            <w:fldChar w:fldCharType="end"/>
          </w:r>
        </w:p>
        <w:p>
          <w:pPr>
            <w:pStyle w:val="11"/>
            <w:tabs>
              <w:tab w:val="left" w:pos="1680"/>
              <w:tab w:val="right" w:leader="dot" w:pos="8296"/>
            </w:tabs>
            <w:spacing w:line="580" w:lineRule="exact"/>
            <w:ind w:firstLine="420" w:firstLineChars="200"/>
            <w:rPr>
              <w:rFonts w:ascii="仿宋" w:hAnsi="仿宋" w:eastAsia="仿宋" w:cstheme="minorBidi"/>
              <w:sz w:val="32"/>
              <w:szCs w:val="32"/>
            </w:rPr>
          </w:pPr>
          <w:r>
            <w:fldChar w:fldCharType="begin"/>
          </w:r>
          <w:r>
            <w:instrText xml:space="preserve"> HYPERLINK \l "_Toc134628737" </w:instrText>
          </w:r>
          <w:r>
            <w:fldChar w:fldCharType="separate"/>
          </w:r>
          <w:r>
            <w:rPr>
              <w:rStyle w:val="24"/>
              <w:rFonts w:hint="eastAsia" w:ascii="仿宋" w:hAnsi="仿宋" w:eastAsia="仿宋"/>
              <w:sz w:val="32"/>
              <w:szCs w:val="32"/>
            </w:rPr>
            <w:t>第二节</w:t>
          </w:r>
          <w:r>
            <w:rPr>
              <w:rStyle w:val="24"/>
              <w:rFonts w:hint="default" w:ascii="仿宋" w:hAnsi="仿宋" w:eastAsia="仿宋"/>
              <w:sz w:val="32"/>
              <w:szCs w:val="32"/>
              <w:woUserID w:val="2"/>
            </w:rPr>
            <w:t xml:space="preserve"> </w:t>
          </w:r>
          <w:r>
            <w:rPr>
              <w:rStyle w:val="24"/>
              <w:rFonts w:hint="eastAsia" w:ascii="仿宋" w:hAnsi="仿宋" w:eastAsia="仿宋"/>
              <w:sz w:val="32"/>
              <w:szCs w:val="32"/>
            </w:rPr>
            <w:t>合作平台</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_Toc134628737 \h </w:instrText>
          </w:r>
          <w:r>
            <w:rPr>
              <w:rFonts w:ascii="仿宋" w:hAnsi="仿宋" w:eastAsia="仿宋"/>
              <w:sz w:val="32"/>
              <w:szCs w:val="32"/>
            </w:rPr>
            <w:fldChar w:fldCharType="separate"/>
          </w:r>
          <w:r>
            <w:rPr>
              <w:rFonts w:ascii="仿宋" w:hAnsi="仿宋" w:eastAsia="仿宋"/>
              <w:sz w:val="32"/>
              <w:szCs w:val="32"/>
            </w:rPr>
            <w:t>6</w:t>
          </w:r>
          <w:r>
            <w:rPr>
              <w:rFonts w:ascii="仿宋" w:hAnsi="仿宋" w:eastAsia="仿宋"/>
              <w:sz w:val="32"/>
              <w:szCs w:val="32"/>
            </w:rPr>
            <w:fldChar w:fldCharType="end"/>
          </w:r>
          <w:r>
            <w:rPr>
              <w:rFonts w:ascii="仿宋" w:hAnsi="仿宋" w:eastAsia="仿宋"/>
              <w:sz w:val="32"/>
              <w:szCs w:val="32"/>
            </w:rPr>
            <w:fldChar w:fldCharType="end"/>
          </w:r>
        </w:p>
        <w:p>
          <w:pPr>
            <w:pStyle w:val="11"/>
            <w:tabs>
              <w:tab w:val="left" w:pos="1680"/>
              <w:tab w:val="right" w:leader="dot" w:pos="8296"/>
            </w:tabs>
            <w:spacing w:line="580" w:lineRule="exact"/>
            <w:ind w:firstLine="420" w:firstLineChars="200"/>
            <w:rPr>
              <w:rFonts w:ascii="仿宋" w:hAnsi="仿宋" w:eastAsia="仿宋" w:cstheme="minorBidi"/>
              <w:sz w:val="32"/>
              <w:szCs w:val="32"/>
            </w:rPr>
          </w:pPr>
          <w:r>
            <w:fldChar w:fldCharType="begin"/>
          </w:r>
          <w:r>
            <w:instrText xml:space="preserve"> HYPERLINK \l "_Toc134628738" </w:instrText>
          </w:r>
          <w:r>
            <w:fldChar w:fldCharType="separate"/>
          </w:r>
          <w:r>
            <w:rPr>
              <w:rStyle w:val="24"/>
              <w:rFonts w:hint="eastAsia" w:ascii="仿宋" w:hAnsi="仿宋" w:eastAsia="仿宋"/>
              <w:sz w:val="32"/>
              <w:szCs w:val="32"/>
            </w:rPr>
            <w:t>第三节</w:t>
          </w:r>
          <w:r>
            <w:rPr>
              <w:rStyle w:val="24"/>
              <w:rFonts w:hint="default" w:ascii="仿宋" w:hAnsi="仿宋" w:eastAsia="仿宋"/>
              <w:sz w:val="32"/>
              <w:szCs w:val="32"/>
              <w:woUserID w:val="2"/>
            </w:rPr>
            <w:t xml:space="preserve"> </w:t>
          </w:r>
          <w:r>
            <w:rPr>
              <w:rStyle w:val="24"/>
              <w:rFonts w:hint="eastAsia" w:ascii="仿宋" w:hAnsi="仿宋" w:eastAsia="仿宋"/>
              <w:sz w:val="32"/>
              <w:szCs w:val="32"/>
            </w:rPr>
            <w:t>现货清算成员</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_Toc134628738 \h </w:instrText>
          </w:r>
          <w:r>
            <w:rPr>
              <w:rFonts w:ascii="仿宋" w:hAnsi="仿宋" w:eastAsia="仿宋"/>
              <w:sz w:val="32"/>
              <w:szCs w:val="32"/>
            </w:rPr>
            <w:fldChar w:fldCharType="separate"/>
          </w:r>
          <w:r>
            <w:rPr>
              <w:rFonts w:ascii="仿宋" w:hAnsi="仿宋" w:eastAsia="仿宋"/>
              <w:sz w:val="32"/>
              <w:szCs w:val="32"/>
            </w:rPr>
            <w:t>11</w:t>
          </w:r>
          <w:r>
            <w:rPr>
              <w:rFonts w:ascii="仿宋" w:hAnsi="仿宋" w:eastAsia="仿宋"/>
              <w:sz w:val="32"/>
              <w:szCs w:val="32"/>
            </w:rPr>
            <w:fldChar w:fldCharType="end"/>
          </w:r>
          <w:r>
            <w:rPr>
              <w:rFonts w:ascii="仿宋" w:hAnsi="仿宋" w:eastAsia="仿宋"/>
              <w:sz w:val="32"/>
              <w:szCs w:val="32"/>
            </w:rPr>
            <w:fldChar w:fldCharType="end"/>
          </w:r>
        </w:p>
        <w:p>
          <w:pPr>
            <w:pStyle w:val="18"/>
            <w:tabs>
              <w:tab w:val="left" w:pos="1470"/>
              <w:tab w:val="right" w:leader="dot" w:pos="8296"/>
            </w:tabs>
            <w:spacing w:line="580" w:lineRule="exact"/>
            <w:rPr>
              <w:rFonts w:ascii="仿宋" w:hAnsi="仿宋" w:eastAsia="仿宋" w:cstheme="minorBidi"/>
              <w:sz w:val="32"/>
              <w:szCs w:val="32"/>
            </w:rPr>
          </w:pPr>
          <w:r>
            <w:fldChar w:fldCharType="begin"/>
          </w:r>
          <w:r>
            <w:instrText xml:space="preserve"> HYPERLINK \l "_Toc134628739" </w:instrText>
          </w:r>
          <w:r>
            <w:fldChar w:fldCharType="separate"/>
          </w:r>
          <w:r>
            <w:rPr>
              <w:rStyle w:val="24"/>
              <w:rFonts w:hint="eastAsia" w:ascii="仿宋" w:hAnsi="仿宋" w:eastAsia="仿宋"/>
              <w:sz w:val="32"/>
              <w:szCs w:val="32"/>
            </w:rPr>
            <w:t>第四章</w:t>
          </w:r>
          <w:r>
            <w:rPr>
              <w:rFonts w:ascii="仿宋" w:hAnsi="仿宋" w:eastAsia="仿宋" w:cstheme="minorBidi"/>
              <w:sz w:val="32"/>
              <w:szCs w:val="32"/>
            </w:rPr>
            <w:tab/>
          </w:r>
          <w:r>
            <w:rPr>
              <w:rStyle w:val="24"/>
              <w:rFonts w:hint="eastAsia" w:ascii="仿宋" w:hAnsi="仿宋" w:eastAsia="仿宋"/>
              <w:sz w:val="32"/>
              <w:szCs w:val="32"/>
            </w:rPr>
            <w:t>交易数据处理</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_Toc134628739 \h </w:instrText>
          </w:r>
          <w:r>
            <w:rPr>
              <w:rFonts w:ascii="仿宋" w:hAnsi="仿宋" w:eastAsia="仿宋"/>
              <w:sz w:val="32"/>
              <w:szCs w:val="32"/>
            </w:rPr>
            <w:fldChar w:fldCharType="separate"/>
          </w:r>
          <w:r>
            <w:rPr>
              <w:rFonts w:ascii="仿宋" w:hAnsi="仿宋" w:eastAsia="仿宋"/>
              <w:sz w:val="32"/>
              <w:szCs w:val="32"/>
            </w:rPr>
            <w:t>16</w:t>
          </w:r>
          <w:r>
            <w:rPr>
              <w:rFonts w:ascii="仿宋" w:hAnsi="仿宋" w:eastAsia="仿宋"/>
              <w:sz w:val="32"/>
              <w:szCs w:val="32"/>
            </w:rPr>
            <w:fldChar w:fldCharType="end"/>
          </w:r>
          <w:r>
            <w:rPr>
              <w:rFonts w:ascii="仿宋" w:hAnsi="仿宋" w:eastAsia="仿宋"/>
              <w:sz w:val="32"/>
              <w:szCs w:val="32"/>
            </w:rPr>
            <w:fldChar w:fldCharType="end"/>
          </w:r>
        </w:p>
        <w:p>
          <w:pPr>
            <w:pStyle w:val="11"/>
            <w:tabs>
              <w:tab w:val="left" w:pos="1680"/>
              <w:tab w:val="right" w:leader="dot" w:pos="8296"/>
            </w:tabs>
            <w:spacing w:line="580" w:lineRule="exact"/>
            <w:ind w:firstLine="420" w:firstLineChars="200"/>
            <w:rPr>
              <w:rFonts w:ascii="仿宋" w:hAnsi="仿宋" w:eastAsia="仿宋" w:cstheme="minorBidi"/>
              <w:sz w:val="32"/>
              <w:szCs w:val="32"/>
            </w:rPr>
          </w:pPr>
          <w:r>
            <w:fldChar w:fldCharType="begin"/>
          </w:r>
          <w:r>
            <w:instrText xml:space="preserve"> HYPERLINK \l "_Toc134628740" </w:instrText>
          </w:r>
          <w:r>
            <w:fldChar w:fldCharType="separate"/>
          </w:r>
          <w:r>
            <w:rPr>
              <w:rStyle w:val="24"/>
              <w:rFonts w:hint="eastAsia" w:ascii="仿宋" w:hAnsi="仿宋" w:eastAsia="仿宋"/>
              <w:sz w:val="32"/>
              <w:szCs w:val="32"/>
            </w:rPr>
            <w:t>第一节</w:t>
          </w:r>
          <w:r>
            <w:rPr>
              <w:rStyle w:val="24"/>
              <w:rFonts w:hint="default" w:ascii="仿宋" w:hAnsi="仿宋" w:eastAsia="仿宋"/>
              <w:sz w:val="32"/>
              <w:szCs w:val="32"/>
              <w:woUserID w:val="2"/>
            </w:rPr>
            <w:t xml:space="preserve"> </w:t>
          </w:r>
          <w:r>
            <w:rPr>
              <w:rStyle w:val="24"/>
              <w:rFonts w:hint="eastAsia" w:ascii="仿宋" w:hAnsi="仿宋" w:eastAsia="仿宋"/>
              <w:sz w:val="32"/>
              <w:szCs w:val="32"/>
            </w:rPr>
            <w:t>挂单申请处理</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_Toc134628740 \h </w:instrText>
          </w:r>
          <w:r>
            <w:rPr>
              <w:rFonts w:ascii="仿宋" w:hAnsi="仿宋" w:eastAsia="仿宋"/>
              <w:sz w:val="32"/>
              <w:szCs w:val="32"/>
            </w:rPr>
            <w:fldChar w:fldCharType="separate"/>
          </w:r>
          <w:r>
            <w:rPr>
              <w:rFonts w:ascii="仿宋" w:hAnsi="仿宋" w:eastAsia="仿宋"/>
              <w:sz w:val="32"/>
              <w:szCs w:val="32"/>
            </w:rPr>
            <w:t>16</w:t>
          </w:r>
          <w:r>
            <w:rPr>
              <w:rFonts w:ascii="仿宋" w:hAnsi="仿宋" w:eastAsia="仿宋"/>
              <w:sz w:val="32"/>
              <w:szCs w:val="32"/>
            </w:rPr>
            <w:fldChar w:fldCharType="end"/>
          </w:r>
          <w:r>
            <w:rPr>
              <w:rFonts w:ascii="仿宋" w:hAnsi="仿宋" w:eastAsia="仿宋"/>
              <w:sz w:val="32"/>
              <w:szCs w:val="32"/>
            </w:rPr>
            <w:fldChar w:fldCharType="end"/>
          </w:r>
        </w:p>
        <w:p>
          <w:pPr>
            <w:pStyle w:val="11"/>
            <w:tabs>
              <w:tab w:val="left" w:pos="1680"/>
              <w:tab w:val="right" w:leader="dot" w:pos="8296"/>
            </w:tabs>
            <w:spacing w:line="580" w:lineRule="exact"/>
            <w:ind w:firstLine="420" w:firstLineChars="200"/>
            <w:rPr>
              <w:rFonts w:ascii="仿宋" w:hAnsi="仿宋" w:eastAsia="仿宋" w:cstheme="minorBidi"/>
              <w:sz w:val="32"/>
              <w:szCs w:val="32"/>
            </w:rPr>
          </w:pPr>
          <w:r>
            <w:fldChar w:fldCharType="begin"/>
          </w:r>
          <w:r>
            <w:instrText xml:space="preserve"> HYPERLINK \l "_Toc134628741" </w:instrText>
          </w:r>
          <w:r>
            <w:fldChar w:fldCharType="separate"/>
          </w:r>
          <w:r>
            <w:rPr>
              <w:rStyle w:val="24"/>
              <w:rFonts w:hint="eastAsia" w:ascii="仿宋" w:hAnsi="仿宋" w:eastAsia="仿宋"/>
              <w:sz w:val="32"/>
              <w:szCs w:val="32"/>
            </w:rPr>
            <w:t>第二节</w:t>
          </w:r>
          <w:r>
            <w:rPr>
              <w:rStyle w:val="24"/>
              <w:rFonts w:hint="default" w:ascii="仿宋" w:hAnsi="仿宋" w:eastAsia="仿宋"/>
              <w:sz w:val="32"/>
              <w:szCs w:val="32"/>
              <w:woUserID w:val="2"/>
            </w:rPr>
            <w:t xml:space="preserve"> </w:t>
          </w:r>
          <w:r>
            <w:rPr>
              <w:rStyle w:val="24"/>
              <w:rFonts w:hint="eastAsia" w:ascii="仿宋" w:hAnsi="仿宋" w:eastAsia="仿宋"/>
              <w:sz w:val="32"/>
              <w:szCs w:val="32"/>
            </w:rPr>
            <w:t>议价申请处理</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_Toc134628741 \h </w:instrText>
          </w:r>
          <w:r>
            <w:rPr>
              <w:rFonts w:ascii="仿宋" w:hAnsi="仿宋" w:eastAsia="仿宋"/>
              <w:sz w:val="32"/>
              <w:szCs w:val="32"/>
            </w:rPr>
            <w:fldChar w:fldCharType="separate"/>
          </w:r>
          <w:r>
            <w:rPr>
              <w:rFonts w:ascii="仿宋" w:hAnsi="仿宋" w:eastAsia="仿宋"/>
              <w:sz w:val="32"/>
              <w:szCs w:val="32"/>
            </w:rPr>
            <w:t>17</w:t>
          </w:r>
          <w:r>
            <w:rPr>
              <w:rFonts w:ascii="仿宋" w:hAnsi="仿宋" w:eastAsia="仿宋"/>
              <w:sz w:val="32"/>
              <w:szCs w:val="32"/>
            </w:rPr>
            <w:fldChar w:fldCharType="end"/>
          </w:r>
          <w:r>
            <w:rPr>
              <w:rFonts w:ascii="仿宋" w:hAnsi="仿宋" w:eastAsia="仿宋"/>
              <w:sz w:val="32"/>
              <w:szCs w:val="32"/>
            </w:rPr>
            <w:fldChar w:fldCharType="end"/>
          </w:r>
        </w:p>
        <w:p>
          <w:pPr>
            <w:pStyle w:val="11"/>
            <w:tabs>
              <w:tab w:val="left" w:pos="1680"/>
              <w:tab w:val="right" w:leader="dot" w:pos="8296"/>
            </w:tabs>
            <w:spacing w:line="580" w:lineRule="exact"/>
            <w:ind w:firstLine="420" w:firstLineChars="200"/>
            <w:rPr>
              <w:rFonts w:ascii="仿宋" w:hAnsi="仿宋" w:eastAsia="仿宋" w:cstheme="minorBidi"/>
              <w:sz w:val="32"/>
              <w:szCs w:val="32"/>
            </w:rPr>
          </w:pPr>
          <w:r>
            <w:fldChar w:fldCharType="begin"/>
          </w:r>
          <w:r>
            <w:instrText xml:space="preserve"> HYPERLINK \l "_Toc134628742" </w:instrText>
          </w:r>
          <w:r>
            <w:fldChar w:fldCharType="separate"/>
          </w:r>
          <w:r>
            <w:rPr>
              <w:rStyle w:val="24"/>
              <w:rFonts w:hint="eastAsia" w:ascii="仿宋" w:hAnsi="仿宋" w:eastAsia="仿宋"/>
              <w:sz w:val="32"/>
              <w:szCs w:val="32"/>
            </w:rPr>
            <w:t>第三节</w:t>
          </w:r>
          <w:r>
            <w:rPr>
              <w:rStyle w:val="24"/>
              <w:rFonts w:hint="default" w:ascii="仿宋" w:hAnsi="仿宋" w:eastAsia="仿宋"/>
              <w:sz w:val="32"/>
              <w:szCs w:val="32"/>
              <w:woUserID w:val="2"/>
            </w:rPr>
            <w:t xml:space="preserve"> </w:t>
          </w:r>
          <w:r>
            <w:rPr>
              <w:rStyle w:val="24"/>
              <w:rFonts w:hint="eastAsia" w:ascii="仿宋" w:hAnsi="仿宋" w:eastAsia="仿宋"/>
              <w:sz w:val="32"/>
              <w:szCs w:val="32"/>
            </w:rPr>
            <w:t>撤销申请处理</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_Toc134628742 \h </w:instrText>
          </w:r>
          <w:r>
            <w:rPr>
              <w:rFonts w:ascii="仿宋" w:hAnsi="仿宋" w:eastAsia="仿宋"/>
              <w:sz w:val="32"/>
              <w:szCs w:val="32"/>
            </w:rPr>
            <w:fldChar w:fldCharType="separate"/>
          </w:r>
          <w:r>
            <w:rPr>
              <w:rFonts w:ascii="仿宋" w:hAnsi="仿宋" w:eastAsia="仿宋"/>
              <w:sz w:val="32"/>
              <w:szCs w:val="32"/>
            </w:rPr>
            <w:t>18</w:t>
          </w:r>
          <w:r>
            <w:rPr>
              <w:rFonts w:ascii="仿宋" w:hAnsi="仿宋" w:eastAsia="仿宋"/>
              <w:sz w:val="32"/>
              <w:szCs w:val="32"/>
            </w:rPr>
            <w:fldChar w:fldCharType="end"/>
          </w:r>
          <w:r>
            <w:rPr>
              <w:rFonts w:ascii="仿宋" w:hAnsi="仿宋" w:eastAsia="仿宋"/>
              <w:sz w:val="32"/>
              <w:szCs w:val="32"/>
            </w:rPr>
            <w:fldChar w:fldCharType="end"/>
          </w:r>
        </w:p>
        <w:p>
          <w:pPr>
            <w:pStyle w:val="11"/>
            <w:tabs>
              <w:tab w:val="left" w:pos="1680"/>
              <w:tab w:val="right" w:leader="dot" w:pos="8296"/>
            </w:tabs>
            <w:spacing w:line="580" w:lineRule="exact"/>
            <w:ind w:firstLine="420" w:firstLineChars="200"/>
            <w:rPr>
              <w:rFonts w:ascii="仿宋" w:hAnsi="仿宋" w:eastAsia="仿宋" w:cstheme="minorBidi"/>
              <w:sz w:val="32"/>
              <w:szCs w:val="32"/>
            </w:rPr>
          </w:pPr>
          <w:r>
            <w:fldChar w:fldCharType="begin"/>
          </w:r>
          <w:r>
            <w:instrText xml:space="preserve"> HYPERLINK \l "_Toc134628743" </w:instrText>
          </w:r>
          <w:r>
            <w:fldChar w:fldCharType="separate"/>
          </w:r>
          <w:r>
            <w:rPr>
              <w:rStyle w:val="24"/>
              <w:rFonts w:hint="eastAsia" w:ascii="仿宋" w:hAnsi="仿宋" w:eastAsia="仿宋"/>
              <w:sz w:val="32"/>
              <w:szCs w:val="32"/>
            </w:rPr>
            <w:t>第四节</w:t>
          </w:r>
          <w:r>
            <w:rPr>
              <w:rStyle w:val="24"/>
              <w:rFonts w:hint="default" w:ascii="仿宋" w:hAnsi="仿宋" w:eastAsia="仿宋"/>
              <w:sz w:val="32"/>
              <w:szCs w:val="32"/>
              <w:woUserID w:val="2"/>
            </w:rPr>
            <w:t xml:space="preserve"> </w:t>
          </w:r>
          <w:r>
            <w:rPr>
              <w:rStyle w:val="24"/>
              <w:rFonts w:hint="eastAsia" w:ascii="仿宋" w:hAnsi="仿宋" w:eastAsia="仿宋"/>
              <w:sz w:val="32"/>
              <w:szCs w:val="32"/>
            </w:rPr>
            <w:t>成交数据处理</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_Toc134628743 \h </w:instrText>
          </w:r>
          <w:r>
            <w:rPr>
              <w:rFonts w:ascii="仿宋" w:hAnsi="仿宋" w:eastAsia="仿宋"/>
              <w:sz w:val="32"/>
              <w:szCs w:val="32"/>
            </w:rPr>
            <w:fldChar w:fldCharType="separate"/>
          </w:r>
          <w:r>
            <w:rPr>
              <w:rFonts w:ascii="仿宋" w:hAnsi="仿宋" w:eastAsia="仿宋"/>
              <w:sz w:val="32"/>
              <w:szCs w:val="32"/>
            </w:rPr>
            <w:t>18</w:t>
          </w:r>
          <w:r>
            <w:rPr>
              <w:rFonts w:ascii="仿宋" w:hAnsi="仿宋" w:eastAsia="仿宋"/>
              <w:sz w:val="32"/>
              <w:szCs w:val="32"/>
            </w:rPr>
            <w:fldChar w:fldCharType="end"/>
          </w:r>
          <w:r>
            <w:rPr>
              <w:rFonts w:ascii="仿宋" w:hAnsi="仿宋" w:eastAsia="仿宋"/>
              <w:sz w:val="32"/>
              <w:szCs w:val="32"/>
            </w:rPr>
            <w:fldChar w:fldCharType="end"/>
          </w:r>
        </w:p>
        <w:p>
          <w:pPr>
            <w:pStyle w:val="18"/>
            <w:tabs>
              <w:tab w:val="left" w:pos="1470"/>
              <w:tab w:val="right" w:leader="dot" w:pos="8296"/>
            </w:tabs>
            <w:spacing w:line="580" w:lineRule="exact"/>
            <w:rPr>
              <w:rFonts w:ascii="仿宋" w:hAnsi="仿宋" w:eastAsia="仿宋" w:cstheme="minorBidi"/>
              <w:sz w:val="32"/>
              <w:szCs w:val="32"/>
            </w:rPr>
          </w:pPr>
          <w:r>
            <w:fldChar w:fldCharType="begin"/>
          </w:r>
          <w:r>
            <w:instrText xml:space="preserve"> HYPERLINK \l "_Toc134628744" </w:instrText>
          </w:r>
          <w:r>
            <w:fldChar w:fldCharType="separate"/>
          </w:r>
          <w:r>
            <w:rPr>
              <w:rStyle w:val="24"/>
              <w:rFonts w:hint="eastAsia" w:ascii="仿宋" w:hAnsi="仿宋" w:eastAsia="仿宋"/>
              <w:sz w:val="32"/>
              <w:szCs w:val="32"/>
            </w:rPr>
            <w:t>第五章</w:t>
          </w:r>
          <w:r>
            <w:rPr>
              <w:rFonts w:ascii="仿宋" w:hAnsi="仿宋" w:eastAsia="仿宋" w:cstheme="minorBidi"/>
              <w:sz w:val="32"/>
              <w:szCs w:val="32"/>
            </w:rPr>
            <w:tab/>
          </w:r>
          <w:r>
            <w:rPr>
              <w:rStyle w:val="24"/>
              <w:rFonts w:hint="eastAsia" w:ascii="仿宋" w:hAnsi="仿宋" w:eastAsia="仿宋"/>
              <w:sz w:val="32"/>
              <w:szCs w:val="32"/>
            </w:rPr>
            <w:t>清算与结算</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_Toc134628744 \h </w:instrText>
          </w:r>
          <w:r>
            <w:rPr>
              <w:rFonts w:ascii="仿宋" w:hAnsi="仿宋" w:eastAsia="仿宋"/>
              <w:sz w:val="32"/>
              <w:szCs w:val="32"/>
            </w:rPr>
            <w:fldChar w:fldCharType="separate"/>
          </w:r>
          <w:r>
            <w:rPr>
              <w:rFonts w:ascii="仿宋" w:hAnsi="仿宋" w:eastAsia="仿宋"/>
              <w:sz w:val="32"/>
              <w:szCs w:val="32"/>
            </w:rPr>
            <w:t>19</w:t>
          </w:r>
          <w:r>
            <w:rPr>
              <w:rFonts w:ascii="仿宋" w:hAnsi="仿宋" w:eastAsia="仿宋"/>
              <w:sz w:val="32"/>
              <w:szCs w:val="32"/>
            </w:rPr>
            <w:fldChar w:fldCharType="end"/>
          </w:r>
          <w:r>
            <w:rPr>
              <w:rFonts w:ascii="仿宋" w:hAnsi="仿宋" w:eastAsia="仿宋"/>
              <w:sz w:val="32"/>
              <w:szCs w:val="32"/>
            </w:rPr>
            <w:fldChar w:fldCharType="end"/>
          </w:r>
        </w:p>
        <w:p>
          <w:pPr>
            <w:pStyle w:val="18"/>
            <w:tabs>
              <w:tab w:val="left" w:pos="1470"/>
              <w:tab w:val="right" w:leader="dot" w:pos="8296"/>
            </w:tabs>
            <w:spacing w:line="580" w:lineRule="exact"/>
            <w:rPr>
              <w:rFonts w:ascii="仿宋" w:hAnsi="仿宋" w:eastAsia="仿宋" w:cstheme="minorBidi"/>
              <w:sz w:val="32"/>
              <w:szCs w:val="32"/>
            </w:rPr>
          </w:pPr>
          <w:r>
            <w:fldChar w:fldCharType="begin"/>
          </w:r>
          <w:r>
            <w:instrText xml:space="preserve"> HYPERLINK \l "_Toc134628745" </w:instrText>
          </w:r>
          <w:r>
            <w:fldChar w:fldCharType="separate"/>
          </w:r>
          <w:r>
            <w:rPr>
              <w:rStyle w:val="24"/>
              <w:rFonts w:hint="eastAsia" w:ascii="仿宋" w:hAnsi="仿宋" w:eastAsia="仿宋"/>
              <w:sz w:val="32"/>
              <w:szCs w:val="32"/>
            </w:rPr>
            <w:t>第六章</w:t>
          </w:r>
          <w:r>
            <w:rPr>
              <w:rFonts w:ascii="仿宋" w:hAnsi="仿宋" w:eastAsia="仿宋" w:cstheme="minorBidi"/>
              <w:sz w:val="32"/>
              <w:szCs w:val="32"/>
            </w:rPr>
            <w:tab/>
          </w:r>
          <w:r>
            <w:rPr>
              <w:rStyle w:val="24"/>
              <w:rFonts w:hint="eastAsia" w:ascii="仿宋" w:hAnsi="仿宋" w:eastAsia="仿宋"/>
              <w:sz w:val="32"/>
              <w:szCs w:val="32"/>
            </w:rPr>
            <w:t>数字人民币业务</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_Toc134628745 \h </w:instrText>
          </w:r>
          <w:r>
            <w:rPr>
              <w:rFonts w:ascii="仿宋" w:hAnsi="仿宋" w:eastAsia="仿宋"/>
              <w:sz w:val="32"/>
              <w:szCs w:val="32"/>
            </w:rPr>
            <w:fldChar w:fldCharType="separate"/>
          </w:r>
          <w:r>
            <w:rPr>
              <w:rFonts w:ascii="仿宋" w:hAnsi="仿宋" w:eastAsia="仿宋"/>
              <w:sz w:val="32"/>
              <w:szCs w:val="32"/>
            </w:rPr>
            <w:t>21</w:t>
          </w:r>
          <w:r>
            <w:rPr>
              <w:rFonts w:ascii="仿宋" w:hAnsi="仿宋" w:eastAsia="仿宋"/>
              <w:sz w:val="32"/>
              <w:szCs w:val="32"/>
            </w:rPr>
            <w:fldChar w:fldCharType="end"/>
          </w:r>
          <w:r>
            <w:rPr>
              <w:rFonts w:ascii="仿宋" w:hAnsi="仿宋" w:eastAsia="仿宋"/>
              <w:sz w:val="32"/>
              <w:szCs w:val="32"/>
            </w:rPr>
            <w:fldChar w:fldCharType="end"/>
          </w:r>
        </w:p>
        <w:p>
          <w:pPr>
            <w:pStyle w:val="18"/>
            <w:tabs>
              <w:tab w:val="left" w:pos="1470"/>
              <w:tab w:val="right" w:leader="dot" w:pos="8296"/>
            </w:tabs>
            <w:spacing w:line="580" w:lineRule="exact"/>
            <w:rPr>
              <w:rFonts w:ascii="仿宋" w:hAnsi="仿宋" w:eastAsia="仿宋" w:cstheme="minorBidi"/>
              <w:sz w:val="32"/>
              <w:szCs w:val="32"/>
            </w:rPr>
          </w:pPr>
          <w:r>
            <w:fldChar w:fldCharType="begin"/>
          </w:r>
          <w:r>
            <w:instrText xml:space="preserve"> HYPERLINK \l "_Toc134628746" </w:instrText>
          </w:r>
          <w:r>
            <w:fldChar w:fldCharType="separate"/>
          </w:r>
          <w:r>
            <w:rPr>
              <w:rStyle w:val="24"/>
              <w:rFonts w:hint="eastAsia" w:ascii="仿宋" w:hAnsi="仿宋" w:eastAsia="仿宋"/>
              <w:sz w:val="32"/>
              <w:szCs w:val="32"/>
            </w:rPr>
            <w:t>第七章</w:t>
          </w:r>
          <w:r>
            <w:rPr>
              <w:rFonts w:ascii="仿宋" w:hAnsi="仿宋" w:eastAsia="仿宋" w:cstheme="minorBidi"/>
              <w:sz w:val="32"/>
              <w:szCs w:val="32"/>
            </w:rPr>
            <w:tab/>
          </w:r>
          <w:r>
            <w:rPr>
              <w:rStyle w:val="24"/>
              <w:rFonts w:hint="eastAsia" w:ascii="仿宋" w:hAnsi="仿宋" w:eastAsia="仿宋"/>
              <w:sz w:val="32"/>
              <w:szCs w:val="32"/>
            </w:rPr>
            <w:t>上海自贸区业务</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_Toc134628746 \h </w:instrText>
          </w:r>
          <w:r>
            <w:rPr>
              <w:rFonts w:ascii="仿宋" w:hAnsi="仿宋" w:eastAsia="仿宋"/>
              <w:sz w:val="32"/>
              <w:szCs w:val="32"/>
            </w:rPr>
            <w:fldChar w:fldCharType="separate"/>
          </w:r>
          <w:r>
            <w:rPr>
              <w:rFonts w:ascii="仿宋" w:hAnsi="仿宋" w:eastAsia="仿宋"/>
              <w:sz w:val="32"/>
              <w:szCs w:val="32"/>
            </w:rPr>
            <w:t>23</w:t>
          </w:r>
          <w:r>
            <w:rPr>
              <w:rFonts w:ascii="仿宋" w:hAnsi="仿宋" w:eastAsia="仿宋"/>
              <w:sz w:val="32"/>
              <w:szCs w:val="32"/>
            </w:rPr>
            <w:fldChar w:fldCharType="end"/>
          </w:r>
          <w:r>
            <w:rPr>
              <w:rFonts w:ascii="仿宋" w:hAnsi="仿宋" w:eastAsia="仿宋"/>
              <w:sz w:val="32"/>
              <w:szCs w:val="32"/>
            </w:rPr>
            <w:fldChar w:fldCharType="end"/>
          </w:r>
        </w:p>
        <w:p>
          <w:pPr>
            <w:pStyle w:val="18"/>
            <w:tabs>
              <w:tab w:val="left" w:pos="1470"/>
              <w:tab w:val="right" w:leader="dot" w:pos="8296"/>
            </w:tabs>
            <w:spacing w:line="580" w:lineRule="exact"/>
            <w:rPr>
              <w:rFonts w:ascii="仿宋" w:hAnsi="仿宋" w:eastAsia="仿宋" w:cstheme="minorBidi"/>
              <w:sz w:val="32"/>
              <w:szCs w:val="32"/>
            </w:rPr>
          </w:pPr>
          <w:r>
            <w:fldChar w:fldCharType="begin"/>
          </w:r>
          <w:r>
            <w:instrText xml:space="preserve"> HYPERLINK \l "_Toc134628747" </w:instrText>
          </w:r>
          <w:r>
            <w:fldChar w:fldCharType="separate"/>
          </w:r>
          <w:r>
            <w:rPr>
              <w:rStyle w:val="24"/>
              <w:rFonts w:hint="eastAsia" w:ascii="仿宋" w:hAnsi="仿宋" w:eastAsia="仿宋"/>
              <w:sz w:val="32"/>
              <w:szCs w:val="32"/>
            </w:rPr>
            <w:t>第八章</w:t>
          </w:r>
          <w:r>
            <w:rPr>
              <w:rFonts w:ascii="仿宋" w:hAnsi="仿宋" w:eastAsia="仿宋" w:cstheme="minorBidi"/>
              <w:sz w:val="32"/>
              <w:szCs w:val="32"/>
            </w:rPr>
            <w:tab/>
          </w:r>
          <w:r>
            <w:rPr>
              <w:rStyle w:val="24"/>
              <w:rFonts w:hint="eastAsia" w:ascii="仿宋" w:hAnsi="仿宋" w:eastAsia="仿宋"/>
              <w:sz w:val="32"/>
              <w:szCs w:val="32"/>
            </w:rPr>
            <w:t>附则</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_Toc134628747 \h </w:instrText>
          </w:r>
          <w:r>
            <w:rPr>
              <w:rFonts w:ascii="仿宋" w:hAnsi="仿宋" w:eastAsia="仿宋"/>
              <w:sz w:val="32"/>
              <w:szCs w:val="32"/>
            </w:rPr>
            <w:fldChar w:fldCharType="separate"/>
          </w:r>
          <w:r>
            <w:rPr>
              <w:rFonts w:ascii="仿宋" w:hAnsi="仿宋" w:eastAsia="仿宋"/>
              <w:sz w:val="32"/>
              <w:szCs w:val="32"/>
            </w:rPr>
            <w:t>27</w:t>
          </w:r>
          <w:r>
            <w:rPr>
              <w:rFonts w:ascii="仿宋" w:hAnsi="仿宋" w:eastAsia="仿宋"/>
              <w:sz w:val="32"/>
              <w:szCs w:val="32"/>
            </w:rPr>
            <w:fldChar w:fldCharType="end"/>
          </w:r>
          <w:r>
            <w:rPr>
              <w:rFonts w:ascii="仿宋" w:hAnsi="仿宋" w:eastAsia="仿宋"/>
              <w:sz w:val="32"/>
              <w:szCs w:val="32"/>
            </w:rPr>
            <w:fldChar w:fldCharType="end"/>
          </w:r>
        </w:p>
        <w:p>
          <w:pPr>
            <w:spacing w:line="580" w:lineRule="exact"/>
            <w:jc w:val="left"/>
            <w:rPr>
              <w:rFonts w:ascii="仿宋" w:hAnsi="仿宋" w:eastAsia="仿宋"/>
              <w:sz w:val="30"/>
              <w:szCs w:val="30"/>
            </w:rPr>
          </w:pPr>
          <w:r>
            <w:rPr>
              <w:rFonts w:ascii="仿宋" w:hAnsi="仿宋" w:eastAsia="仿宋"/>
              <w:b/>
              <w:bCs/>
              <w:sz w:val="32"/>
              <w:szCs w:val="32"/>
              <w:lang w:val="zh-CN"/>
            </w:rPr>
            <w:fldChar w:fldCharType="end"/>
          </w:r>
        </w:p>
      </w:sdtContent>
    </w:sdt>
    <w:p>
      <w:pPr>
        <w:spacing w:before="156" w:beforeLines="50" w:after="156" w:afterLines="50" w:line="580" w:lineRule="exact"/>
        <w:rPr>
          <w:rFonts w:ascii="仿宋" w:hAnsi="仿宋" w:eastAsia="仿宋"/>
          <w:sz w:val="24"/>
          <w:szCs w:val="24"/>
        </w:rPr>
      </w:pPr>
    </w:p>
    <w:p>
      <w:pPr>
        <w:spacing w:line="580" w:lineRule="exact"/>
        <w:sectPr>
          <w:footerReference r:id="rId4" w:type="default"/>
          <w:pgSz w:w="11906" w:h="16838"/>
          <w:pgMar w:top="1440" w:right="1800" w:bottom="1440" w:left="1800" w:header="851" w:footer="992" w:gutter="0"/>
          <w:cols w:space="425" w:num="1"/>
          <w:docGrid w:type="lines" w:linePitch="312" w:charSpace="0"/>
        </w:sectPr>
      </w:pPr>
    </w:p>
    <w:p>
      <w:pPr>
        <w:pStyle w:val="3"/>
        <w:spacing w:line="580" w:lineRule="exact"/>
        <w:rPr>
          <w:rFonts w:ascii="黑体" w:hAnsi="黑体" w:eastAsia="黑体"/>
          <w:b w:val="0"/>
          <w:sz w:val="32"/>
        </w:rPr>
      </w:pPr>
      <w:bookmarkStart w:id="0" w:name="_Toc134628732"/>
      <w:bookmarkStart w:id="1" w:name="_Toc41292893"/>
      <w:r>
        <w:rPr>
          <w:rFonts w:hint="eastAsia" w:ascii="黑体" w:hAnsi="黑体" w:eastAsia="黑体"/>
          <w:b w:val="0"/>
          <w:sz w:val="32"/>
        </w:rPr>
        <w:t>总则</w:t>
      </w:r>
      <w:bookmarkEnd w:id="0"/>
      <w:bookmarkEnd w:id="1"/>
    </w:p>
    <w:p>
      <w:pPr>
        <w:pStyle w:val="36"/>
        <w:numPr>
          <w:ilvl w:val="0"/>
          <w:numId w:val="3"/>
        </w:numPr>
        <w:spacing w:line="580" w:lineRule="exact"/>
        <w:ind w:left="-141" w:leftChars="-67" w:firstLine="425"/>
        <w:jc w:val="both"/>
        <w:rPr>
          <w:rFonts w:hAnsi="仿宋"/>
          <w:sz w:val="32"/>
          <w:szCs w:val="30"/>
        </w:rPr>
      </w:pPr>
      <w:bookmarkStart w:id="2" w:name="_Ref322440034"/>
      <w:r>
        <w:rPr>
          <w:rFonts w:hint="eastAsia" w:hAnsi="仿宋"/>
          <w:sz w:val="32"/>
          <w:szCs w:val="30"/>
        </w:rPr>
        <w:t>为规范大宗商品现货</w:t>
      </w:r>
      <w:r>
        <w:rPr>
          <w:rFonts w:hAnsi="仿宋"/>
          <w:sz w:val="32"/>
          <w:szCs w:val="30"/>
        </w:rPr>
        <w:t>清算业务</w:t>
      </w:r>
      <w:r>
        <w:rPr>
          <w:rFonts w:hint="eastAsia" w:hAnsi="仿宋"/>
          <w:sz w:val="32"/>
          <w:szCs w:val="30"/>
        </w:rPr>
        <w:t>（以下简称本</w:t>
      </w:r>
      <w:r>
        <w:rPr>
          <w:rFonts w:hAnsi="仿宋"/>
          <w:sz w:val="32"/>
          <w:szCs w:val="30"/>
        </w:rPr>
        <w:t>业务）操作流程，</w:t>
      </w:r>
      <w:r>
        <w:rPr>
          <w:rFonts w:hint="eastAsia" w:hAnsi="仿宋"/>
          <w:sz w:val="32"/>
          <w:szCs w:val="30"/>
        </w:rPr>
        <w:t>银行间市场清算所股份有限公司（以下简称上海清算所）根据《大宗商品现货清算业务规则》（以下简称《业务规则》），制定本指南。</w:t>
      </w:r>
      <w:bookmarkEnd w:id="2"/>
    </w:p>
    <w:p>
      <w:pPr>
        <w:numPr>
          <w:ilvl w:val="0"/>
          <w:numId w:val="3"/>
        </w:numPr>
        <w:spacing w:line="580" w:lineRule="exact"/>
        <w:rPr>
          <w:rFonts w:ascii="仿宋" w:hAnsi="仿宋" w:eastAsia="仿宋"/>
          <w:kern w:val="0"/>
          <w:sz w:val="32"/>
          <w:szCs w:val="30"/>
        </w:rPr>
      </w:pPr>
      <w:r>
        <w:rPr>
          <w:rFonts w:hint="eastAsia" w:ascii="仿宋" w:hAnsi="仿宋" w:eastAsia="仿宋"/>
          <w:kern w:val="0"/>
          <w:sz w:val="32"/>
          <w:szCs w:val="30"/>
        </w:rPr>
        <w:t>本指南适用于本业务参与者，包括交易商、</w:t>
      </w:r>
      <w:r>
        <w:rPr>
          <w:rFonts w:hint="eastAsia" w:ascii="仿宋" w:hAnsi="仿宋" w:eastAsia="仿宋" w:cs="仿宋"/>
          <w:sz w:val="32"/>
          <w:szCs w:val="30"/>
        </w:rPr>
        <w:t>大宗商品现货服务</w:t>
      </w:r>
      <w:r>
        <w:rPr>
          <w:rFonts w:ascii="仿宋" w:hAnsi="仿宋" w:eastAsia="仿宋" w:cs="仿宋"/>
          <w:sz w:val="32"/>
          <w:szCs w:val="30"/>
        </w:rPr>
        <w:t>平台</w:t>
      </w:r>
      <w:r>
        <w:rPr>
          <w:rFonts w:hint="eastAsia" w:ascii="仿宋" w:hAnsi="仿宋" w:eastAsia="仿宋" w:cs="仿宋"/>
          <w:sz w:val="32"/>
          <w:szCs w:val="30"/>
        </w:rPr>
        <w:t>（以下简称现货平台）、</w:t>
      </w:r>
      <w:r>
        <w:rPr>
          <w:rFonts w:ascii="仿宋" w:hAnsi="仿宋" w:eastAsia="仿宋" w:cs="仿宋"/>
          <w:sz w:val="32"/>
          <w:szCs w:val="30"/>
        </w:rPr>
        <w:t>第三方</w:t>
      </w:r>
      <w:r>
        <w:rPr>
          <w:rFonts w:hint="eastAsia" w:ascii="仿宋" w:hAnsi="仿宋" w:eastAsia="仿宋" w:cs="仿宋"/>
          <w:sz w:val="32"/>
          <w:szCs w:val="30"/>
        </w:rPr>
        <w:t>登记公示平台</w:t>
      </w:r>
      <w:r>
        <w:rPr>
          <w:rFonts w:ascii="仿宋" w:hAnsi="仿宋" w:eastAsia="仿宋" w:cs="仿宋"/>
          <w:sz w:val="32"/>
          <w:szCs w:val="30"/>
        </w:rPr>
        <w:t>（</w:t>
      </w:r>
      <w:r>
        <w:rPr>
          <w:rFonts w:hint="eastAsia" w:ascii="仿宋" w:hAnsi="仿宋" w:eastAsia="仿宋" w:cs="仿宋"/>
          <w:sz w:val="32"/>
          <w:szCs w:val="30"/>
        </w:rPr>
        <w:t>以下</w:t>
      </w:r>
      <w:r>
        <w:rPr>
          <w:rFonts w:ascii="仿宋" w:hAnsi="仿宋" w:eastAsia="仿宋" w:cs="仿宋"/>
          <w:sz w:val="32"/>
          <w:szCs w:val="30"/>
        </w:rPr>
        <w:t>简称公示平台）</w:t>
      </w:r>
      <w:r>
        <w:rPr>
          <w:rFonts w:hint="eastAsia" w:ascii="仿宋" w:hAnsi="仿宋" w:eastAsia="仿宋" w:cs="仿宋"/>
          <w:sz w:val="32"/>
          <w:szCs w:val="30"/>
        </w:rPr>
        <w:t>、现货清算成员及上海清算所等</w:t>
      </w:r>
      <w:r>
        <w:rPr>
          <w:rFonts w:hint="eastAsia" w:ascii="仿宋" w:hAnsi="仿宋" w:eastAsia="仿宋"/>
          <w:kern w:val="0"/>
          <w:sz w:val="32"/>
          <w:szCs w:val="30"/>
        </w:rPr>
        <w:t>。</w:t>
      </w:r>
    </w:p>
    <w:p>
      <w:pPr>
        <w:numPr>
          <w:ilvl w:val="0"/>
          <w:numId w:val="3"/>
        </w:numPr>
        <w:spacing w:line="580" w:lineRule="exact"/>
        <w:rPr>
          <w:rFonts w:ascii="仿宋" w:hAnsi="仿宋" w:eastAsia="仿宋" w:cs="宋体"/>
          <w:color w:val="000000"/>
          <w:kern w:val="0"/>
          <w:sz w:val="32"/>
          <w:szCs w:val="30"/>
        </w:rPr>
      </w:pPr>
      <w:r>
        <w:rPr>
          <w:rFonts w:hint="eastAsia" w:ascii="仿宋" w:hAnsi="仿宋" w:eastAsia="仿宋" w:cs="宋体"/>
          <w:color w:val="000000"/>
          <w:kern w:val="0"/>
          <w:sz w:val="32"/>
          <w:szCs w:val="30"/>
        </w:rPr>
        <w:t>交易商</w:t>
      </w:r>
      <w:r>
        <w:rPr>
          <w:rFonts w:ascii="仿宋" w:hAnsi="仿宋" w:eastAsia="仿宋" w:cs="宋体"/>
          <w:color w:val="000000"/>
          <w:kern w:val="0"/>
          <w:sz w:val="32"/>
          <w:szCs w:val="30"/>
        </w:rPr>
        <w:t>，</w:t>
      </w:r>
      <w:r>
        <w:rPr>
          <w:rFonts w:hint="eastAsia" w:ascii="仿宋" w:hAnsi="仿宋" w:eastAsia="仿宋" w:cs="宋体"/>
          <w:color w:val="000000"/>
          <w:kern w:val="0"/>
          <w:sz w:val="32"/>
          <w:szCs w:val="30"/>
        </w:rPr>
        <w:t>是指现货平台认可的、可参与大宗商品现货</w:t>
      </w:r>
      <w:r>
        <w:rPr>
          <w:rFonts w:ascii="仿宋" w:hAnsi="仿宋" w:eastAsia="仿宋" w:cs="宋体"/>
          <w:color w:val="000000"/>
          <w:kern w:val="0"/>
          <w:sz w:val="32"/>
          <w:szCs w:val="30"/>
        </w:rPr>
        <w:t>交易的</w:t>
      </w:r>
      <w:r>
        <w:rPr>
          <w:rFonts w:hint="eastAsia" w:ascii="仿宋" w:hAnsi="仿宋" w:eastAsia="仿宋" w:cs="宋体"/>
          <w:color w:val="000000"/>
          <w:kern w:val="0"/>
          <w:sz w:val="32"/>
          <w:szCs w:val="30"/>
        </w:rPr>
        <w:t>公司法人。</w:t>
      </w:r>
    </w:p>
    <w:p>
      <w:pPr>
        <w:numPr>
          <w:ilvl w:val="0"/>
          <w:numId w:val="3"/>
        </w:numPr>
        <w:spacing w:line="580" w:lineRule="exact"/>
        <w:rPr>
          <w:rFonts w:ascii="仿宋" w:hAnsi="仿宋" w:eastAsia="仿宋" w:cs="宋体"/>
          <w:color w:val="000000"/>
          <w:kern w:val="0"/>
          <w:sz w:val="32"/>
          <w:szCs w:val="30"/>
        </w:rPr>
      </w:pPr>
      <w:r>
        <w:rPr>
          <w:rFonts w:hint="eastAsia" w:ascii="仿宋" w:hAnsi="仿宋" w:eastAsia="仿宋" w:cs="宋体"/>
          <w:color w:val="000000"/>
          <w:kern w:val="0"/>
          <w:sz w:val="32"/>
          <w:szCs w:val="30"/>
        </w:rPr>
        <w:t>现货平台，是指符合国家及各地方政府相关规定以及上海清算所相关资质要求、为交易商提供大宗商品现货相关交易交收服务的平台。</w:t>
      </w:r>
    </w:p>
    <w:p>
      <w:pPr>
        <w:numPr>
          <w:ilvl w:val="0"/>
          <w:numId w:val="3"/>
        </w:numPr>
        <w:spacing w:line="580" w:lineRule="exact"/>
        <w:rPr>
          <w:rFonts w:ascii="仿宋" w:hAnsi="仿宋" w:eastAsia="仿宋"/>
          <w:kern w:val="0"/>
          <w:sz w:val="32"/>
          <w:szCs w:val="30"/>
        </w:rPr>
      </w:pPr>
      <w:r>
        <w:rPr>
          <w:rFonts w:hint="eastAsia" w:ascii="仿宋" w:hAnsi="仿宋" w:eastAsia="仿宋"/>
          <w:kern w:val="0"/>
          <w:sz w:val="32"/>
          <w:szCs w:val="30"/>
        </w:rPr>
        <w:t>公示平台</w:t>
      </w:r>
      <w:r>
        <w:rPr>
          <w:rFonts w:ascii="仿宋" w:hAnsi="仿宋" w:eastAsia="仿宋"/>
          <w:kern w:val="0"/>
          <w:sz w:val="32"/>
          <w:szCs w:val="30"/>
        </w:rPr>
        <w:t>，</w:t>
      </w:r>
      <w:r>
        <w:rPr>
          <w:rFonts w:hint="eastAsia" w:ascii="仿宋" w:hAnsi="仿宋" w:eastAsia="仿宋"/>
          <w:kern w:val="0"/>
          <w:sz w:val="32"/>
          <w:szCs w:val="30"/>
        </w:rPr>
        <w:t>是指依法设立的，</w:t>
      </w:r>
      <w:r>
        <w:rPr>
          <w:rFonts w:hint="eastAsia" w:ascii="仿宋" w:hAnsi="仿宋" w:eastAsia="仿宋" w:cs="宋体"/>
          <w:color w:val="000000"/>
          <w:kern w:val="0"/>
          <w:sz w:val="32"/>
          <w:szCs w:val="30"/>
        </w:rPr>
        <w:t>对交易标的进行登记、核对校验、实物抽查及信息比对，并将交易标的状态信息进行公示的独立第三方机构。</w:t>
      </w:r>
    </w:p>
    <w:p>
      <w:pPr>
        <w:numPr>
          <w:ilvl w:val="0"/>
          <w:numId w:val="3"/>
        </w:numPr>
        <w:spacing w:line="580" w:lineRule="exact"/>
        <w:rPr>
          <w:rFonts w:ascii="仿宋" w:hAnsi="仿宋" w:eastAsia="仿宋"/>
          <w:kern w:val="0"/>
          <w:sz w:val="32"/>
          <w:szCs w:val="30"/>
        </w:rPr>
      </w:pPr>
      <w:r>
        <w:rPr>
          <w:rFonts w:hint="eastAsia" w:ascii="仿宋" w:hAnsi="仿宋" w:eastAsia="仿宋"/>
          <w:kern w:val="0"/>
          <w:sz w:val="32"/>
          <w:szCs w:val="30"/>
        </w:rPr>
        <w:t>现货清算成员，是</w:t>
      </w:r>
      <w:r>
        <w:rPr>
          <w:rFonts w:ascii="仿宋" w:hAnsi="仿宋" w:eastAsia="仿宋"/>
          <w:kern w:val="0"/>
          <w:sz w:val="32"/>
          <w:szCs w:val="30"/>
        </w:rPr>
        <w:t>指符合上海清算所</w:t>
      </w:r>
      <w:r>
        <w:rPr>
          <w:rFonts w:hint="eastAsia" w:ascii="仿宋" w:hAnsi="仿宋" w:eastAsia="仿宋"/>
          <w:kern w:val="0"/>
          <w:sz w:val="32"/>
          <w:szCs w:val="30"/>
        </w:rPr>
        <w:t>的资质要求、为交易商提供资金</w:t>
      </w:r>
      <w:r>
        <w:rPr>
          <w:rFonts w:ascii="仿宋" w:hAnsi="仿宋" w:eastAsia="仿宋"/>
          <w:kern w:val="0"/>
          <w:sz w:val="32"/>
          <w:szCs w:val="30"/>
        </w:rPr>
        <w:t>结算</w:t>
      </w:r>
      <w:r>
        <w:rPr>
          <w:rFonts w:hint="eastAsia" w:ascii="仿宋" w:hAnsi="仿宋" w:eastAsia="仿宋"/>
          <w:kern w:val="0"/>
          <w:sz w:val="32"/>
          <w:szCs w:val="30"/>
        </w:rPr>
        <w:t>服务的商业银行等金融</w:t>
      </w:r>
      <w:r>
        <w:rPr>
          <w:rFonts w:ascii="仿宋" w:hAnsi="仿宋" w:eastAsia="仿宋"/>
          <w:kern w:val="0"/>
          <w:sz w:val="32"/>
          <w:szCs w:val="30"/>
        </w:rPr>
        <w:t>机构</w:t>
      </w:r>
      <w:r>
        <w:rPr>
          <w:rFonts w:hint="eastAsia" w:ascii="仿宋" w:hAnsi="仿宋" w:eastAsia="仿宋"/>
          <w:kern w:val="0"/>
          <w:sz w:val="32"/>
          <w:szCs w:val="30"/>
        </w:rPr>
        <w:t>。</w:t>
      </w:r>
    </w:p>
    <w:p>
      <w:pPr>
        <w:numPr>
          <w:ilvl w:val="0"/>
          <w:numId w:val="3"/>
        </w:numPr>
        <w:spacing w:line="580" w:lineRule="exact"/>
        <w:rPr>
          <w:rFonts w:ascii="仿宋" w:hAnsi="仿宋" w:eastAsia="仿宋"/>
          <w:kern w:val="0"/>
          <w:sz w:val="32"/>
          <w:szCs w:val="30"/>
        </w:rPr>
      </w:pPr>
      <w:r>
        <w:rPr>
          <w:rFonts w:hint="eastAsia" w:ascii="仿宋" w:hAnsi="仿宋" w:eastAsia="仿宋"/>
          <w:kern w:val="0"/>
          <w:sz w:val="32"/>
          <w:szCs w:val="30"/>
        </w:rPr>
        <w:t>上海清算所</w:t>
      </w:r>
      <w:r>
        <w:rPr>
          <w:rFonts w:ascii="仿宋" w:hAnsi="仿宋" w:eastAsia="仿宋"/>
          <w:kern w:val="0"/>
          <w:sz w:val="32"/>
          <w:szCs w:val="30"/>
        </w:rPr>
        <w:t>为交易商</w:t>
      </w:r>
      <w:r>
        <w:rPr>
          <w:rFonts w:hint="eastAsia" w:ascii="仿宋" w:hAnsi="仿宋" w:eastAsia="仿宋"/>
          <w:kern w:val="0"/>
          <w:sz w:val="32"/>
          <w:szCs w:val="30"/>
        </w:rPr>
        <w:t>通过现货平台</w:t>
      </w:r>
      <w:r>
        <w:rPr>
          <w:rFonts w:ascii="仿宋" w:hAnsi="仿宋" w:eastAsia="仿宋"/>
          <w:kern w:val="0"/>
          <w:sz w:val="32"/>
          <w:szCs w:val="30"/>
        </w:rPr>
        <w:t>达成</w:t>
      </w:r>
      <w:r>
        <w:rPr>
          <w:rFonts w:hint="eastAsia" w:ascii="仿宋" w:hAnsi="仿宋" w:eastAsia="仿宋"/>
          <w:kern w:val="0"/>
          <w:sz w:val="32"/>
          <w:szCs w:val="30"/>
        </w:rPr>
        <w:t>或交收的大宗商品现货交易</w:t>
      </w:r>
      <w:r>
        <w:rPr>
          <w:rFonts w:ascii="仿宋" w:hAnsi="仿宋" w:eastAsia="仿宋"/>
          <w:kern w:val="0"/>
          <w:sz w:val="32"/>
          <w:szCs w:val="30"/>
        </w:rPr>
        <w:t>提供</w:t>
      </w:r>
      <w:r>
        <w:rPr>
          <w:rFonts w:hint="eastAsia" w:ascii="仿宋" w:hAnsi="仿宋" w:eastAsia="仿宋"/>
          <w:kern w:val="0"/>
          <w:sz w:val="32"/>
          <w:szCs w:val="30"/>
        </w:rPr>
        <w:t>相关</w:t>
      </w:r>
      <w:r>
        <w:rPr>
          <w:rFonts w:ascii="仿宋" w:hAnsi="仿宋" w:eastAsia="仿宋"/>
          <w:kern w:val="0"/>
          <w:sz w:val="32"/>
          <w:szCs w:val="30"/>
        </w:rPr>
        <w:t>资金清算</w:t>
      </w:r>
      <w:r>
        <w:rPr>
          <w:rFonts w:hint="eastAsia" w:ascii="仿宋" w:hAnsi="仿宋" w:eastAsia="仿宋"/>
          <w:kern w:val="0"/>
          <w:sz w:val="32"/>
          <w:szCs w:val="30"/>
        </w:rPr>
        <w:t>结算</w:t>
      </w:r>
      <w:r>
        <w:rPr>
          <w:rFonts w:ascii="仿宋" w:hAnsi="仿宋" w:eastAsia="仿宋"/>
          <w:kern w:val="0"/>
          <w:sz w:val="32"/>
          <w:szCs w:val="30"/>
        </w:rPr>
        <w:t>服务</w:t>
      </w:r>
      <w:r>
        <w:rPr>
          <w:rFonts w:hint="eastAsia" w:ascii="仿宋" w:hAnsi="仿宋" w:eastAsia="仿宋"/>
          <w:kern w:val="0"/>
          <w:sz w:val="32"/>
          <w:szCs w:val="30"/>
        </w:rPr>
        <w:t>，</w:t>
      </w:r>
      <w:r>
        <w:rPr>
          <w:rFonts w:ascii="仿宋" w:hAnsi="仿宋" w:eastAsia="仿宋"/>
          <w:kern w:val="0"/>
          <w:sz w:val="32"/>
          <w:szCs w:val="30"/>
        </w:rPr>
        <w:t>不承担履约担保责任</w:t>
      </w:r>
      <w:r>
        <w:rPr>
          <w:rFonts w:hint="eastAsia" w:ascii="仿宋" w:hAnsi="仿宋" w:eastAsia="仿宋"/>
          <w:kern w:val="0"/>
          <w:sz w:val="32"/>
          <w:szCs w:val="30"/>
        </w:rPr>
        <w:t>。</w:t>
      </w:r>
    </w:p>
    <w:p>
      <w:pPr>
        <w:numPr>
          <w:ilvl w:val="0"/>
          <w:numId w:val="3"/>
        </w:numPr>
        <w:spacing w:line="580" w:lineRule="exact"/>
        <w:rPr>
          <w:rFonts w:ascii="仿宋" w:hAnsi="仿宋" w:eastAsia="仿宋"/>
          <w:kern w:val="0"/>
          <w:sz w:val="32"/>
          <w:szCs w:val="30"/>
        </w:rPr>
      </w:pPr>
      <w:r>
        <w:rPr>
          <w:rFonts w:hint="eastAsia" w:ascii="仿宋" w:hAnsi="仿宋" w:eastAsia="仿宋"/>
          <w:kern w:val="0"/>
          <w:sz w:val="32"/>
          <w:szCs w:val="30"/>
        </w:rPr>
        <w:t>交易商、现货清算成员等需遵守适用于其的反洗钱、反恐融资、反逃税义务，参与本业务的资金需合法合规。</w:t>
      </w:r>
    </w:p>
    <w:p>
      <w:pPr>
        <w:pStyle w:val="3"/>
        <w:spacing w:line="580" w:lineRule="exact"/>
        <w:rPr>
          <w:rFonts w:ascii="黑体" w:hAnsi="黑体" w:eastAsia="黑体"/>
          <w:b w:val="0"/>
          <w:sz w:val="32"/>
        </w:rPr>
      </w:pPr>
      <w:bookmarkStart w:id="3" w:name="_Toc134607715"/>
      <w:bookmarkEnd w:id="3"/>
      <w:bookmarkStart w:id="4" w:name="_Toc134628733"/>
      <w:bookmarkEnd w:id="4"/>
      <w:bookmarkStart w:id="5" w:name="_Toc134628734"/>
      <w:bookmarkStart w:id="6" w:name="_Toc41292894"/>
      <w:r>
        <w:rPr>
          <w:rFonts w:hint="eastAsia" w:ascii="黑体" w:hAnsi="黑体" w:eastAsia="黑体"/>
          <w:b w:val="0"/>
          <w:sz w:val="32"/>
        </w:rPr>
        <w:t>清算产品</w:t>
      </w:r>
      <w:bookmarkEnd w:id="5"/>
      <w:bookmarkEnd w:id="6"/>
    </w:p>
    <w:p>
      <w:pPr>
        <w:pStyle w:val="36"/>
        <w:numPr>
          <w:ilvl w:val="0"/>
          <w:numId w:val="3"/>
        </w:numPr>
        <w:spacing w:line="580" w:lineRule="exact"/>
        <w:jc w:val="both"/>
        <w:rPr>
          <w:rFonts w:hAnsi="仿宋"/>
          <w:sz w:val="32"/>
          <w:szCs w:val="32"/>
        </w:rPr>
      </w:pPr>
      <w:r>
        <w:rPr>
          <w:rFonts w:hint="eastAsia" w:hAnsi="仿宋"/>
          <w:sz w:val="32"/>
          <w:szCs w:val="32"/>
        </w:rPr>
        <w:t>本业务清算</w:t>
      </w:r>
      <w:r>
        <w:rPr>
          <w:rFonts w:hAnsi="仿宋"/>
          <w:sz w:val="32"/>
          <w:szCs w:val="32"/>
        </w:rPr>
        <w:t>产品</w:t>
      </w:r>
      <w:r>
        <w:rPr>
          <w:rFonts w:hint="eastAsia" w:hAnsi="仿宋"/>
          <w:sz w:val="32"/>
          <w:szCs w:val="32"/>
        </w:rPr>
        <w:t>为经</w:t>
      </w:r>
      <w:r>
        <w:rPr>
          <w:rFonts w:hAnsi="仿宋"/>
          <w:sz w:val="32"/>
          <w:szCs w:val="32"/>
        </w:rPr>
        <w:t>现货平台认可并由上海清算所提供</w:t>
      </w:r>
      <w:r>
        <w:rPr>
          <w:rFonts w:hint="eastAsia" w:hAnsi="仿宋"/>
          <w:sz w:val="32"/>
          <w:szCs w:val="32"/>
        </w:rPr>
        <w:t>相关</w:t>
      </w:r>
      <w:r>
        <w:rPr>
          <w:rFonts w:hAnsi="仿宋"/>
          <w:sz w:val="32"/>
          <w:szCs w:val="32"/>
        </w:rPr>
        <w:t>资金清算结算</w:t>
      </w:r>
      <w:r>
        <w:rPr>
          <w:rFonts w:hint="eastAsia" w:hAnsi="仿宋"/>
          <w:sz w:val="32"/>
          <w:szCs w:val="32"/>
        </w:rPr>
        <w:t>服务的大宗商品现货产品。</w:t>
      </w:r>
    </w:p>
    <w:p>
      <w:pPr>
        <w:pStyle w:val="36"/>
        <w:numPr>
          <w:ilvl w:val="0"/>
          <w:numId w:val="3"/>
        </w:numPr>
        <w:spacing w:line="580" w:lineRule="exact"/>
        <w:jc w:val="both"/>
        <w:rPr>
          <w:rFonts w:hAnsi="仿宋"/>
          <w:sz w:val="32"/>
          <w:szCs w:val="32"/>
        </w:rPr>
      </w:pPr>
      <w:r>
        <w:rPr>
          <w:rFonts w:hint="eastAsia" w:hAnsi="仿宋"/>
          <w:sz w:val="32"/>
          <w:szCs w:val="32"/>
        </w:rPr>
        <w:t>清算产品包括但不限于：</w:t>
      </w:r>
    </w:p>
    <w:p>
      <w:pPr>
        <w:pStyle w:val="36"/>
        <w:spacing w:line="580" w:lineRule="exact"/>
        <w:ind w:left="30" w:firstLine="640" w:firstLineChars="200"/>
        <w:rPr>
          <w:rFonts w:hAnsi="仿宋"/>
          <w:sz w:val="32"/>
          <w:szCs w:val="32"/>
        </w:rPr>
      </w:pPr>
      <w:r>
        <w:rPr>
          <w:rFonts w:hint="eastAsia" w:hAnsi="仿宋"/>
          <w:sz w:val="32"/>
          <w:szCs w:val="32"/>
        </w:rPr>
        <w:t>（一）大宗商品实物。</w:t>
      </w:r>
    </w:p>
    <w:p>
      <w:pPr>
        <w:pStyle w:val="36"/>
        <w:spacing w:line="580" w:lineRule="exact"/>
        <w:ind w:left="30" w:firstLine="640" w:firstLineChars="200"/>
        <w:rPr>
          <w:rFonts w:hAnsi="仿宋"/>
          <w:sz w:val="32"/>
          <w:szCs w:val="32"/>
        </w:rPr>
      </w:pPr>
      <w:r>
        <w:rPr>
          <w:rFonts w:hint="eastAsia" w:hAnsi="仿宋"/>
          <w:sz w:val="32"/>
          <w:szCs w:val="32"/>
        </w:rPr>
        <w:t>（二）以大宗商品实物为标的物的仓单</w:t>
      </w:r>
      <w:r>
        <w:rPr>
          <w:rFonts w:hAnsi="仿宋"/>
          <w:sz w:val="32"/>
          <w:szCs w:val="32"/>
        </w:rPr>
        <w:t>、</w:t>
      </w:r>
      <w:r>
        <w:rPr>
          <w:rFonts w:hint="eastAsia" w:hAnsi="仿宋"/>
          <w:sz w:val="32"/>
          <w:szCs w:val="32"/>
        </w:rPr>
        <w:t>可转让提单、</w:t>
      </w:r>
      <w:r>
        <w:rPr>
          <w:rFonts w:hAnsi="仿宋"/>
          <w:sz w:val="32"/>
          <w:szCs w:val="32"/>
        </w:rPr>
        <w:t>订单</w:t>
      </w:r>
      <w:r>
        <w:rPr>
          <w:rFonts w:hint="eastAsia" w:hAnsi="仿宋"/>
          <w:sz w:val="32"/>
          <w:szCs w:val="32"/>
        </w:rPr>
        <w:t>等权利凭证。</w:t>
      </w:r>
    </w:p>
    <w:p>
      <w:pPr>
        <w:pStyle w:val="36"/>
        <w:spacing w:line="580" w:lineRule="exact"/>
        <w:ind w:left="30" w:firstLine="640" w:firstLineChars="200"/>
        <w:jc w:val="both"/>
        <w:rPr>
          <w:rFonts w:hAnsi="仿宋"/>
          <w:sz w:val="32"/>
          <w:szCs w:val="32"/>
        </w:rPr>
      </w:pPr>
      <w:r>
        <w:rPr>
          <w:rFonts w:hint="eastAsia" w:hAnsi="仿宋"/>
          <w:sz w:val="32"/>
          <w:szCs w:val="32"/>
        </w:rPr>
        <w:t>（三）国家及各地方人民政府依法规定的其他交易标的。</w:t>
      </w:r>
    </w:p>
    <w:p>
      <w:pPr>
        <w:pStyle w:val="36"/>
        <w:numPr>
          <w:ilvl w:val="0"/>
          <w:numId w:val="3"/>
        </w:numPr>
        <w:spacing w:line="580" w:lineRule="exact"/>
        <w:jc w:val="both"/>
        <w:rPr>
          <w:rFonts w:hAnsi="仿宋"/>
          <w:sz w:val="32"/>
          <w:szCs w:val="32"/>
        </w:rPr>
      </w:pPr>
      <w:r>
        <w:rPr>
          <w:rFonts w:hint="eastAsia" w:hAnsi="仿宋"/>
          <w:sz w:val="32"/>
          <w:szCs w:val="32"/>
        </w:rPr>
        <w:t>现货平台新增</w:t>
      </w:r>
      <w:r>
        <w:rPr>
          <w:rFonts w:hAnsi="仿宋"/>
          <w:sz w:val="32"/>
          <w:szCs w:val="32"/>
        </w:rPr>
        <w:t>产品上市</w:t>
      </w:r>
      <w:r>
        <w:rPr>
          <w:rFonts w:hint="eastAsia" w:hAnsi="仿宋"/>
          <w:sz w:val="32"/>
          <w:szCs w:val="32"/>
        </w:rPr>
        <w:t>的</w:t>
      </w:r>
      <w:r>
        <w:rPr>
          <w:rFonts w:hAnsi="仿宋"/>
          <w:sz w:val="32"/>
          <w:szCs w:val="32"/>
        </w:rPr>
        <w:t>，应</w:t>
      </w:r>
      <w:r>
        <w:rPr>
          <w:rFonts w:hint="eastAsia" w:hAnsi="仿宋"/>
          <w:sz w:val="32"/>
          <w:szCs w:val="32"/>
        </w:rPr>
        <w:t>提前两个月将</w:t>
      </w:r>
      <w:r>
        <w:rPr>
          <w:rFonts w:hAnsi="仿宋"/>
          <w:sz w:val="32"/>
          <w:szCs w:val="32"/>
        </w:rPr>
        <w:t>产品要素</w:t>
      </w:r>
      <w:r>
        <w:rPr>
          <w:rFonts w:hint="eastAsia" w:hAnsi="仿宋"/>
          <w:sz w:val="32"/>
          <w:szCs w:val="32"/>
        </w:rPr>
        <w:t>书面告知</w:t>
      </w:r>
      <w:r>
        <w:rPr>
          <w:rFonts w:hAnsi="仿宋"/>
          <w:sz w:val="32"/>
          <w:szCs w:val="32"/>
        </w:rPr>
        <w:t>上海清算所</w:t>
      </w:r>
      <w:r>
        <w:rPr>
          <w:rFonts w:hint="eastAsia" w:hAnsi="仿宋"/>
          <w:sz w:val="32"/>
          <w:szCs w:val="32"/>
        </w:rPr>
        <w:t>。</w:t>
      </w:r>
    </w:p>
    <w:p>
      <w:pPr>
        <w:numPr>
          <w:ilvl w:val="0"/>
          <w:numId w:val="3"/>
        </w:numPr>
        <w:spacing w:line="580" w:lineRule="exact"/>
        <w:rPr>
          <w:rFonts w:ascii="仿宋" w:hAnsi="仿宋" w:eastAsia="仿宋"/>
          <w:kern w:val="0"/>
          <w:sz w:val="32"/>
          <w:szCs w:val="32"/>
        </w:rPr>
      </w:pPr>
      <w:r>
        <w:rPr>
          <w:rFonts w:hint="eastAsia" w:ascii="仿宋" w:hAnsi="仿宋" w:eastAsia="仿宋"/>
          <w:kern w:val="0"/>
          <w:sz w:val="32"/>
          <w:szCs w:val="32"/>
        </w:rPr>
        <w:t>现货平台</w:t>
      </w:r>
      <w:r>
        <w:rPr>
          <w:rFonts w:ascii="仿宋" w:hAnsi="仿宋" w:eastAsia="仿宋"/>
          <w:kern w:val="0"/>
          <w:sz w:val="32"/>
          <w:szCs w:val="32"/>
        </w:rPr>
        <w:t>变更</w:t>
      </w:r>
      <w:r>
        <w:rPr>
          <w:rFonts w:hint="eastAsia" w:ascii="仿宋" w:hAnsi="仿宋" w:eastAsia="仿宋"/>
          <w:kern w:val="0"/>
          <w:sz w:val="32"/>
          <w:szCs w:val="32"/>
        </w:rPr>
        <w:t>产品要素</w:t>
      </w:r>
      <w:r>
        <w:rPr>
          <w:rFonts w:ascii="仿宋" w:hAnsi="仿宋" w:eastAsia="仿宋"/>
          <w:kern w:val="0"/>
          <w:sz w:val="32"/>
          <w:szCs w:val="32"/>
        </w:rPr>
        <w:t>的，</w:t>
      </w:r>
      <w:r>
        <w:rPr>
          <w:rFonts w:hint="eastAsia" w:ascii="仿宋" w:hAnsi="仿宋" w:eastAsia="仿宋"/>
          <w:kern w:val="0"/>
          <w:sz w:val="32"/>
          <w:szCs w:val="32"/>
        </w:rPr>
        <w:t>应</w:t>
      </w:r>
      <w:r>
        <w:rPr>
          <w:rFonts w:ascii="仿宋" w:hAnsi="仿宋" w:eastAsia="仿宋"/>
          <w:kern w:val="0"/>
          <w:sz w:val="32"/>
          <w:szCs w:val="32"/>
        </w:rPr>
        <w:t>提前</w:t>
      </w:r>
      <w:r>
        <w:rPr>
          <w:rFonts w:hint="eastAsia" w:ascii="仿宋" w:hAnsi="仿宋" w:eastAsia="仿宋"/>
          <w:kern w:val="0"/>
          <w:sz w:val="32"/>
          <w:szCs w:val="32"/>
        </w:rPr>
        <w:t>十个工作日书面告知上海清算所。</w:t>
      </w:r>
    </w:p>
    <w:p>
      <w:pPr>
        <w:numPr>
          <w:ilvl w:val="0"/>
          <w:numId w:val="3"/>
        </w:numPr>
        <w:spacing w:line="580" w:lineRule="exact"/>
        <w:rPr>
          <w:rFonts w:ascii="仿宋" w:hAnsi="仿宋" w:eastAsia="仿宋"/>
          <w:kern w:val="0"/>
          <w:sz w:val="32"/>
          <w:szCs w:val="32"/>
        </w:rPr>
      </w:pPr>
      <w:r>
        <w:rPr>
          <w:rFonts w:hint="eastAsia" w:ascii="仿宋" w:hAnsi="仿宋" w:eastAsia="仿宋"/>
          <w:kern w:val="0"/>
          <w:sz w:val="32"/>
          <w:szCs w:val="32"/>
        </w:rPr>
        <w:t>现货平台</w:t>
      </w:r>
      <w:r>
        <w:rPr>
          <w:rFonts w:ascii="仿宋" w:hAnsi="仿宋" w:eastAsia="仿宋"/>
          <w:kern w:val="0"/>
          <w:sz w:val="32"/>
          <w:szCs w:val="32"/>
        </w:rPr>
        <w:t>取消产品</w:t>
      </w:r>
      <w:r>
        <w:rPr>
          <w:rFonts w:hint="eastAsia" w:ascii="仿宋" w:hAnsi="仿宋" w:eastAsia="仿宋"/>
          <w:kern w:val="0"/>
          <w:sz w:val="32"/>
          <w:szCs w:val="32"/>
        </w:rPr>
        <w:t>上市</w:t>
      </w:r>
      <w:r>
        <w:rPr>
          <w:rFonts w:ascii="仿宋" w:hAnsi="仿宋" w:eastAsia="仿宋"/>
          <w:kern w:val="0"/>
          <w:sz w:val="32"/>
          <w:szCs w:val="32"/>
        </w:rPr>
        <w:t>的，应提前</w:t>
      </w:r>
      <w:r>
        <w:rPr>
          <w:rFonts w:hint="eastAsia" w:ascii="仿宋" w:hAnsi="仿宋" w:eastAsia="仿宋"/>
          <w:kern w:val="0"/>
          <w:sz w:val="32"/>
          <w:szCs w:val="32"/>
        </w:rPr>
        <w:t>十个工作日书面告知上海清算所。</w:t>
      </w:r>
    </w:p>
    <w:p>
      <w:pPr>
        <w:pStyle w:val="3"/>
        <w:spacing w:line="580" w:lineRule="exact"/>
        <w:rPr>
          <w:rFonts w:ascii="黑体" w:hAnsi="黑体" w:eastAsia="黑体"/>
          <w:b w:val="0"/>
          <w:sz w:val="32"/>
        </w:rPr>
      </w:pPr>
      <w:bookmarkStart w:id="7" w:name="_Toc41292895"/>
      <w:bookmarkStart w:id="8" w:name="_Toc134628735"/>
      <w:r>
        <w:rPr>
          <w:rFonts w:hint="eastAsia" w:ascii="黑体" w:hAnsi="黑体" w:eastAsia="黑体"/>
          <w:b w:val="0"/>
          <w:sz w:val="32"/>
        </w:rPr>
        <w:t>市场参与者</w:t>
      </w:r>
      <w:bookmarkEnd w:id="7"/>
      <w:bookmarkEnd w:id="8"/>
    </w:p>
    <w:p>
      <w:pPr>
        <w:pStyle w:val="4"/>
        <w:spacing w:line="580" w:lineRule="exact"/>
        <w:ind w:left="0"/>
        <w:rPr>
          <w:sz w:val="32"/>
          <w:szCs w:val="32"/>
        </w:rPr>
      </w:pPr>
      <w:bookmarkStart w:id="9" w:name="_Toc134628736"/>
      <w:bookmarkStart w:id="10" w:name="_Toc41292896"/>
      <w:r>
        <w:rPr>
          <w:rFonts w:hint="eastAsia"/>
          <w:sz w:val="32"/>
          <w:szCs w:val="32"/>
        </w:rPr>
        <w:t>交易商</w:t>
      </w:r>
      <w:bookmarkEnd w:id="9"/>
      <w:bookmarkEnd w:id="10"/>
    </w:p>
    <w:p>
      <w:pPr>
        <w:pStyle w:val="36"/>
        <w:numPr>
          <w:ilvl w:val="0"/>
          <w:numId w:val="3"/>
        </w:numPr>
        <w:spacing w:line="580" w:lineRule="exact"/>
        <w:jc w:val="both"/>
        <w:rPr>
          <w:rFonts w:hAnsi="仿宋"/>
          <w:sz w:val="32"/>
          <w:szCs w:val="32"/>
        </w:rPr>
      </w:pPr>
      <w:r>
        <w:rPr>
          <w:rFonts w:hint="eastAsia" w:hAnsi="仿宋"/>
          <w:sz w:val="32"/>
          <w:szCs w:val="32"/>
        </w:rPr>
        <w:t>交易商通过上海</w:t>
      </w:r>
      <w:r>
        <w:rPr>
          <w:rFonts w:hAnsi="仿宋"/>
          <w:sz w:val="32"/>
          <w:szCs w:val="32"/>
        </w:rPr>
        <w:t>清算所及</w:t>
      </w:r>
      <w:r>
        <w:rPr>
          <w:rFonts w:hint="eastAsia" w:hAnsi="仿宋"/>
          <w:sz w:val="32"/>
          <w:szCs w:val="32"/>
        </w:rPr>
        <w:t>相关现货清算成员办理其通过现货平台达成或</w:t>
      </w:r>
      <w:r>
        <w:rPr>
          <w:rFonts w:hAnsi="仿宋"/>
          <w:sz w:val="32"/>
          <w:szCs w:val="32"/>
        </w:rPr>
        <w:t>交收</w:t>
      </w:r>
      <w:r>
        <w:rPr>
          <w:rFonts w:hint="eastAsia" w:hAnsi="仿宋"/>
          <w:sz w:val="32"/>
          <w:szCs w:val="32"/>
        </w:rPr>
        <w:t>的大宗商品</w:t>
      </w:r>
      <w:r>
        <w:rPr>
          <w:rFonts w:hAnsi="仿宋"/>
          <w:sz w:val="32"/>
          <w:szCs w:val="32"/>
        </w:rPr>
        <w:t>现货</w:t>
      </w:r>
      <w:r>
        <w:rPr>
          <w:rFonts w:hint="eastAsia" w:hAnsi="仿宋"/>
          <w:sz w:val="32"/>
          <w:szCs w:val="32"/>
        </w:rPr>
        <w:t>交易</w:t>
      </w:r>
      <w:r>
        <w:rPr>
          <w:rFonts w:hAnsi="仿宋"/>
          <w:sz w:val="32"/>
          <w:szCs w:val="32"/>
        </w:rPr>
        <w:t>的</w:t>
      </w:r>
      <w:r>
        <w:rPr>
          <w:rFonts w:hint="eastAsia" w:hAnsi="仿宋"/>
          <w:sz w:val="32"/>
          <w:szCs w:val="32"/>
        </w:rPr>
        <w:t>资金清算结算。</w:t>
      </w:r>
      <w:r>
        <w:rPr>
          <w:rFonts w:hAnsi="仿宋"/>
          <w:sz w:val="32"/>
          <w:szCs w:val="32"/>
        </w:rPr>
        <w:t>交易商应确保前述交易</w:t>
      </w:r>
      <w:r>
        <w:rPr>
          <w:rFonts w:hint="eastAsia" w:hAnsi="仿宋"/>
          <w:sz w:val="32"/>
          <w:szCs w:val="32"/>
        </w:rPr>
        <w:t>基于真实贸易背景</w:t>
      </w:r>
      <w:r>
        <w:rPr>
          <w:rFonts w:hAnsi="仿宋"/>
          <w:sz w:val="32"/>
          <w:szCs w:val="32"/>
        </w:rPr>
        <w:t>且</w:t>
      </w:r>
      <w:r>
        <w:rPr>
          <w:rFonts w:hint="eastAsia" w:hAnsi="仿宋"/>
          <w:sz w:val="32"/>
          <w:szCs w:val="32"/>
        </w:rPr>
        <w:t>合法</w:t>
      </w:r>
      <w:r>
        <w:rPr>
          <w:rFonts w:hAnsi="仿宋"/>
          <w:sz w:val="32"/>
          <w:szCs w:val="32"/>
        </w:rPr>
        <w:t>合规</w:t>
      </w:r>
      <w:r>
        <w:rPr>
          <w:rFonts w:hint="eastAsia" w:hAnsi="仿宋"/>
          <w:sz w:val="32"/>
          <w:szCs w:val="32"/>
        </w:rPr>
        <w:t>。</w:t>
      </w:r>
    </w:p>
    <w:p>
      <w:pPr>
        <w:pStyle w:val="36"/>
        <w:numPr>
          <w:ilvl w:val="0"/>
          <w:numId w:val="3"/>
        </w:numPr>
        <w:spacing w:line="580" w:lineRule="exact"/>
        <w:jc w:val="both"/>
        <w:rPr>
          <w:rFonts w:hAnsi="仿宋"/>
          <w:sz w:val="32"/>
          <w:szCs w:val="32"/>
        </w:rPr>
      </w:pPr>
      <w:r>
        <w:rPr>
          <w:rFonts w:hint="eastAsia" w:hAnsi="仿宋"/>
          <w:sz w:val="32"/>
          <w:szCs w:val="32"/>
        </w:rPr>
        <w:t>交易商在参与本业务前，应完成以下事项：</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（一</w:t>
      </w:r>
      <w:r>
        <w:rPr>
          <w:rFonts w:ascii="仿宋" w:hAnsi="仿宋" w:eastAsia="仿宋"/>
          <w:kern w:val="0"/>
          <w:sz w:val="32"/>
          <w:szCs w:val="32"/>
        </w:rPr>
        <w:t>）</w:t>
      </w:r>
      <w:r>
        <w:rPr>
          <w:rFonts w:hint="eastAsia" w:ascii="仿宋" w:hAnsi="仿宋" w:eastAsia="仿宋"/>
          <w:kern w:val="0"/>
          <w:sz w:val="32"/>
          <w:szCs w:val="32"/>
        </w:rPr>
        <w:t>与现货</w:t>
      </w:r>
      <w:r>
        <w:rPr>
          <w:rFonts w:ascii="仿宋" w:hAnsi="仿宋" w:eastAsia="仿宋"/>
          <w:kern w:val="0"/>
          <w:sz w:val="32"/>
          <w:szCs w:val="32"/>
        </w:rPr>
        <w:t>平台签订协议，并</w:t>
      </w:r>
      <w:r>
        <w:rPr>
          <w:rFonts w:hint="eastAsia" w:ascii="仿宋" w:hAnsi="仿宋" w:eastAsia="仿宋"/>
          <w:kern w:val="0"/>
          <w:sz w:val="32"/>
          <w:szCs w:val="32"/>
        </w:rPr>
        <w:t>委托现货平台向上海清算所提交《大宗商品现货清算业务交易商编码申请表》（附</w:t>
      </w:r>
      <w:r>
        <w:rPr>
          <w:rFonts w:ascii="仿宋" w:hAnsi="仿宋" w:eastAsia="仿宋"/>
          <w:kern w:val="0"/>
          <w:sz w:val="32"/>
          <w:szCs w:val="32"/>
        </w:rPr>
        <w:t>1）</w:t>
      </w:r>
      <w:r>
        <w:rPr>
          <w:rFonts w:hint="eastAsia" w:ascii="仿宋" w:hAnsi="仿宋" w:eastAsia="仿宋"/>
          <w:kern w:val="0"/>
          <w:sz w:val="32"/>
          <w:szCs w:val="32"/>
        </w:rPr>
        <w:t>及</w:t>
      </w:r>
      <w:r>
        <w:rPr>
          <w:rFonts w:ascii="仿宋" w:hAnsi="仿宋" w:eastAsia="仿宋"/>
          <w:kern w:val="0"/>
          <w:sz w:val="32"/>
          <w:szCs w:val="32"/>
        </w:rPr>
        <w:t>相关材料</w:t>
      </w:r>
      <w:r>
        <w:rPr>
          <w:rFonts w:hint="eastAsia" w:ascii="仿宋" w:hAnsi="仿宋" w:eastAsia="仿宋"/>
          <w:kern w:val="0"/>
          <w:sz w:val="32"/>
          <w:szCs w:val="32"/>
        </w:rPr>
        <w:t>，申请交易商编码。</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与现货清算成员签订协议，并</w:t>
      </w:r>
      <w:r>
        <w:rPr>
          <w:rFonts w:hint="eastAsia" w:ascii="仿宋" w:hAnsi="仿宋" w:eastAsia="仿宋"/>
          <w:kern w:val="0"/>
          <w:sz w:val="32"/>
          <w:szCs w:val="32"/>
        </w:rPr>
        <w:t>在该现货清算成员</w:t>
      </w:r>
      <w:r>
        <w:rPr>
          <w:rFonts w:hint="eastAsia" w:ascii="仿宋" w:hAnsi="仿宋" w:eastAsia="仿宋" w:cs="仿宋"/>
          <w:sz w:val="32"/>
          <w:szCs w:val="32"/>
        </w:rPr>
        <w:t>开立资金结算账户</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（三</w:t>
      </w:r>
      <w:r>
        <w:rPr>
          <w:rFonts w:ascii="仿宋" w:hAnsi="仿宋" w:eastAsia="仿宋"/>
          <w:kern w:val="0"/>
          <w:sz w:val="32"/>
          <w:szCs w:val="32"/>
        </w:rPr>
        <w:t>）</w:t>
      </w:r>
      <w:r>
        <w:rPr>
          <w:rFonts w:hint="eastAsia" w:ascii="仿宋" w:hAnsi="仿宋" w:eastAsia="仿宋"/>
          <w:kern w:val="0"/>
          <w:sz w:val="32"/>
          <w:szCs w:val="32"/>
        </w:rPr>
        <w:t>上海清算所要求完成的其他事项。</w:t>
      </w:r>
    </w:p>
    <w:p>
      <w:pPr>
        <w:pStyle w:val="36"/>
        <w:numPr>
          <w:ilvl w:val="0"/>
          <w:numId w:val="3"/>
        </w:numPr>
        <w:spacing w:line="580" w:lineRule="exact"/>
        <w:jc w:val="both"/>
        <w:rPr>
          <w:rFonts w:hAnsi="仿宋"/>
          <w:sz w:val="32"/>
          <w:szCs w:val="32"/>
        </w:rPr>
      </w:pPr>
      <w:r>
        <w:rPr>
          <w:rFonts w:hint="eastAsia" w:hAnsi="仿宋"/>
          <w:sz w:val="32"/>
          <w:szCs w:val="32"/>
        </w:rPr>
        <w:t>交易商在参与本业务时，应</w:t>
      </w:r>
      <w:r>
        <w:rPr>
          <w:rFonts w:hAnsi="仿宋"/>
          <w:sz w:val="32"/>
          <w:szCs w:val="32"/>
        </w:rPr>
        <w:t>确保</w:t>
      </w:r>
      <w:r>
        <w:rPr>
          <w:rFonts w:hint="eastAsia" w:hAnsi="仿宋"/>
          <w:sz w:val="32"/>
          <w:szCs w:val="32"/>
        </w:rPr>
        <w:t>其资金结算</w:t>
      </w:r>
      <w:r>
        <w:rPr>
          <w:rFonts w:hAnsi="仿宋"/>
          <w:sz w:val="32"/>
          <w:szCs w:val="32"/>
        </w:rPr>
        <w:t>账户中资金足额，避免</w:t>
      </w:r>
      <w:r>
        <w:rPr>
          <w:rFonts w:hint="eastAsia" w:hAnsi="仿宋"/>
          <w:sz w:val="32"/>
          <w:szCs w:val="32"/>
        </w:rPr>
        <w:t>因资金</w:t>
      </w:r>
      <w:r>
        <w:rPr>
          <w:rFonts w:hAnsi="仿宋"/>
          <w:sz w:val="32"/>
          <w:szCs w:val="32"/>
        </w:rPr>
        <w:t>不足</w:t>
      </w:r>
      <w:r>
        <w:rPr>
          <w:rFonts w:hint="eastAsia" w:hAnsi="仿宋"/>
          <w:sz w:val="32"/>
          <w:szCs w:val="32"/>
        </w:rPr>
        <w:t>造成结算失败</w:t>
      </w:r>
      <w:r>
        <w:rPr>
          <w:rFonts w:hAnsi="仿宋"/>
          <w:sz w:val="32"/>
          <w:szCs w:val="32"/>
        </w:rPr>
        <w:t>。</w:t>
      </w:r>
    </w:p>
    <w:p>
      <w:pPr>
        <w:pStyle w:val="36"/>
        <w:numPr>
          <w:ilvl w:val="0"/>
          <w:numId w:val="3"/>
        </w:numPr>
        <w:spacing w:line="580" w:lineRule="exact"/>
        <w:jc w:val="both"/>
        <w:rPr>
          <w:rFonts w:hAnsi="仿宋"/>
          <w:sz w:val="32"/>
          <w:szCs w:val="32"/>
        </w:rPr>
      </w:pPr>
      <w:r>
        <w:rPr>
          <w:rFonts w:hint="eastAsia" w:hAnsi="仿宋"/>
          <w:sz w:val="32"/>
          <w:szCs w:val="32"/>
        </w:rPr>
        <w:t>对于任何</w:t>
      </w:r>
      <w:r>
        <w:rPr>
          <w:rFonts w:hAnsi="仿宋"/>
          <w:sz w:val="32"/>
          <w:szCs w:val="32"/>
        </w:rPr>
        <w:t>因交易</w:t>
      </w:r>
      <w:r>
        <w:rPr>
          <w:rFonts w:hint="eastAsia" w:hAnsi="仿宋"/>
          <w:sz w:val="32"/>
          <w:szCs w:val="32"/>
        </w:rPr>
        <w:t>或</w:t>
      </w:r>
      <w:r>
        <w:rPr>
          <w:rFonts w:hAnsi="仿宋"/>
          <w:sz w:val="32"/>
          <w:szCs w:val="32"/>
        </w:rPr>
        <w:t>交易标的过户行为</w:t>
      </w:r>
      <w:r>
        <w:rPr>
          <w:rFonts w:hint="eastAsia" w:hAnsi="仿宋"/>
          <w:sz w:val="32"/>
          <w:szCs w:val="32"/>
        </w:rPr>
        <w:t>本身所引起</w:t>
      </w:r>
      <w:r>
        <w:rPr>
          <w:rFonts w:hAnsi="仿宋"/>
          <w:sz w:val="32"/>
          <w:szCs w:val="32"/>
        </w:rPr>
        <w:t>或与之相关的争议或纠纷，</w:t>
      </w:r>
      <w:r>
        <w:rPr>
          <w:rFonts w:hint="eastAsia" w:hAnsi="仿宋"/>
          <w:sz w:val="32"/>
          <w:szCs w:val="32"/>
        </w:rPr>
        <w:t>上海</w:t>
      </w:r>
      <w:r>
        <w:rPr>
          <w:rFonts w:hAnsi="仿宋"/>
          <w:sz w:val="32"/>
          <w:szCs w:val="32"/>
        </w:rPr>
        <w:t>清算所、现货清算成员不承担任何责任，由</w:t>
      </w:r>
      <w:r>
        <w:rPr>
          <w:rFonts w:hint="eastAsia" w:hAnsi="仿宋"/>
          <w:sz w:val="32"/>
          <w:szCs w:val="32"/>
        </w:rPr>
        <w:t>交易</w:t>
      </w:r>
      <w:r>
        <w:rPr>
          <w:rFonts w:hAnsi="仿宋"/>
          <w:sz w:val="32"/>
          <w:szCs w:val="32"/>
        </w:rPr>
        <w:t>或交收相关方自行解决。</w:t>
      </w:r>
    </w:p>
    <w:p>
      <w:pPr>
        <w:pStyle w:val="36"/>
        <w:numPr>
          <w:ilvl w:val="0"/>
          <w:numId w:val="3"/>
        </w:numPr>
        <w:spacing w:line="580" w:lineRule="exact"/>
        <w:jc w:val="both"/>
        <w:rPr>
          <w:rFonts w:hAnsi="仿宋"/>
          <w:sz w:val="32"/>
          <w:szCs w:val="32"/>
        </w:rPr>
      </w:pPr>
      <w:r>
        <w:rPr>
          <w:rFonts w:hAnsi="仿宋"/>
          <w:sz w:val="32"/>
          <w:szCs w:val="32"/>
        </w:rPr>
        <w:t>出现下列情形之一的，</w:t>
      </w:r>
      <w:r>
        <w:rPr>
          <w:rFonts w:hint="eastAsia" w:hAnsi="仿宋"/>
          <w:sz w:val="32"/>
          <w:szCs w:val="32"/>
        </w:rPr>
        <w:t>上海清算所</w:t>
      </w:r>
      <w:r>
        <w:rPr>
          <w:rFonts w:hAnsi="仿宋"/>
          <w:sz w:val="32"/>
          <w:szCs w:val="32"/>
        </w:rPr>
        <w:t>可为</w:t>
      </w:r>
      <w:r>
        <w:rPr>
          <w:rFonts w:hint="eastAsia" w:hAnsi="仿宋"/>
          <w:sz w:val="32"/>
          <w:szCs w:val="32"/>
        </w:rPr>
        <w:t>现货清算成员和交易商</w:t>
      </w:r>
      <w:r>
        <w:rPr>
          <w:rFonts w:hAnsi="仿宋"/>
          <w:sz w:val="32"/>
          <w:szCs w:val="32"/>
        </w:rPr>
        <w:t>办理</w:t>
      </w:r>
      <w:r>
        <w:rPr>
          <w:rFonts w:hint="eastAsia" w:hAnsi="仿宋"/>
          <w:sz w:val="32"/>
          <w:szCs w:val="32"/>
        </w:rPr>
        <w:t>清算</w:t>
      </w:r>
      <w:r>
        <w:rPr>
          <w:rFonts w:hAnsi="仿宋"/>
          <w:sz w:val="32"/>
          <w:szCs w:val="32"/>
        </w:rPr>
        <w:t>关系</w:t>
      </w:r>
      <w:r>
        <w:rPr>
          <w:rFonts w:hint="eastAsia" w:hAnsi="仿宋"/>
          <w:sz w:val="32"/>
          <w:szCs w:val="32"/>
        </w:rPr>
        <w:t>变更</w:t>
      </w:r>
      <w:r>
        <w:rPr>
          <w:rFonts w:hAnsi="仿宋"/>
          <w:sz w:val="32"/>
          <w:szCs w:val="32"/>
        </w:rPr>
        <w:t>手续：</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cs="宋体"/>
          <w:kern w:val="0"/>
          <w:sz w:val="32"/>
          <w:szCs w:val="32"/>
        </w:rPr>
        <w:t>（一</w:t>
      </w:r>
      <w:r>
        <w:rPr>
          <w:rFonts w:ascii="仿宋" w:hAnsi="仿宋" w:eastAsia="仿宋" w:cs="宋体"/>
          <w:kern w:val="0"/>
          <w:sz w:val="32"/>
          <w:szCs w:val="32"/>
        </w:rPr>
        <w:t>）协议期满后</w:t>
      </w:r>
      <w:r>
        <w:rPr>
          <w:rFonts w:hint="eastAsia" w:ascii="仿宋" w:hAnsi="仿宋" w:eastAsia="仿宋" w:cs="宋体"/>
          <w:kern w:val="0"/>
          <w:sz w:val="32"/>
          <w:szCs w:val="32"/>
        </w:rPr>
        <w:t>，</w:t>
      </w:r>
      <w:r>
        <w:rPr>
          <w:rFonts w:hint="eastAsia" w:ascii="仿宋" w:hAnsi="仿宋" w:eastAsia="仿宋"/>
          <w:kern w:val="0"/>
          <w:sz w:val="32"/>
          <w:szCs w:val="32"/>
        </w:rPr>
        <w:t>现货清算成员</w:t>
      </w:r>
      <w:r>
        <w:rPr>
          <w:rFonts w:ascii="仿宋" w:hAnsi="仿宋" w:eastAsia="仿宋" w:cs="宋体"/>
          <w:kern w:val="0"/>
          <w:sz w:val="32"/>
          <w:szCs w:val="32"/>
        </w:rPr>
        <w:t>与</w:t>
      </w:r>
      <w:r>
        <w:rPr>
          <w:rFonts w:hint="eastAsia" w:ascii="仿宋" w:hAnsi="仿宋" w:eastAsia="仿宋" w:cs="宋体"/>
          <w:kern w:val="0"/>
          <w:sz w:val="32"/>
          <w:szCs w:val="32"/>
        </w:rPr>
        <w:t>交易商</w:t>
      </w:r>
      <w:r>
        <w:rPr>
          <w:rFonts w:ascii="仿宋" w:hAnsi="仿宋" w:eastAsia="仿宋" w:cs="宋体"/>
          <w:kern w:val="0"/>
          <w:sz w:val="32"/>
          <w:szCs w:val="32"/>
        </w:rPr>
        <w:t>不再续约</w:t>
      </w:r>
      <w:r>
        <w:rPr>
          <w:rFonts w:hint="eastAsia" w:ascii="仿宋" w:hAnsi="仿宋" w:eastAsia="仿宋" w:cs="宋体"/>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（二</w:t>
      </w:r>
      <w:r>
        <w:rPr>
          <w:rFonts w:ascii="仿宋" w:hAnsi="仿宋" w:eastAsia="仿宋"/>
          <w:kern w:val="0"/>
          <w:sz w:val="32"/>
          <w:szCs w:val="32"/>
        </w:rPr>
        <w:t>）</w:t>
      </w:r>
      <w:r>
        <w:rPr>
          <w:rFonts w:hint="eastAsia" w:ascii="仿宋" w:hAnsi="仿宋" w:eastAsia="仿宋"/>
          <w:kern w:val="0"/>
          <w:sz w:val="32"/>
          <w:szCs w:val="32"/>
        </w:rPr>
        <w:t>现货清算成员</w:t>
      </w:r>
      <w:r>
        <w:rPr>
          <w:rFonts w:ascii="仿宋" w:hAnsi="仿宋" w:eastAsia="仿宋"/>
          <w:kern w:val="0"/>
          <w:sz w:val="32"/>
          <w:szCs w:val="32"/>
        </w:rPr>
        <w:t>与</w:t>
      </w:r>
      <w:r>
        <w:rPr>
          <w:rFonts w:hint="eastAsia" w:ascii="仿宋" w:hAnsi="仿宋" w:eastAsia="仿宋"/>
          <w:kern w:val="0"/>
          <w:sz w:val="32"/>
          <w:szCs w:val="32"/>
        </w:rPr>
        <w:t>交易商</w:t>
      </w:r>
      <w:r>
        <w:rPr>
          <w:rFonts w:ascii="仿宋" w:hAnsi="仿宋" w:eastAsia="仿宋"/>
          <w:kern w:val="0"/>
          <w:sz w:val="32"/>
          <w:szCs w:val="32"/>
        </w:rPr>
        <w:t>提前解除协议</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（三</w:t>
      </w:r>
      <w:r>
        <w:rPr>
          <w:rFonts w:ascii="仿宋" w:hAnsi="仿宋" w:eastAsia="仿宋"/>
          <w:kern w:val="0"/>
          <w:sz w:val="32"/>
          <w:szCs w:val="32"/>
        </w:rPr>
        <w:t>）</w:t>
      </w:r>
      <w:r>
        <w:rPr>
          <w:rFonts w:hint="eastAsia" w:ascii="仿宋" w:hAnsi="仿宋" w:eastAsia="仿宋"/>
          <w:kern w:val="0"/>
          <w:sz w:val="32"/>
          <w:szCs w:val="32"/>
        </w:rPr>
        <w:t>现货清算成员</w:t>
      </w:r>
      <w:r>
        <w:rPr>
          <w:rFonts w:ascii="仿宋" w:hAnsi="仿宋" w:eastAsia="仿宋"/>
          <w:kern w:val="0"/>
          <w:sz w:val="32"/>
          <w:szCs w:val="32"/>
        </w:rPr>
        <w:t>因</w:t>
      </w:r>
      <w:r>
        <w:rPr>
          <w:rFonts w:hint="eastAsia" w:ascii="仿宋" w:hAnsi="仿宋" w:eastAsia="仿宋"/>
          <w:kern w:val="0"/>
          <w:sz w:val="32"/>
          <w:szCs w:val="32"/>
        </w:rPr>
        <w:t>停业、整顿、接管、解散、清算破产等问题</w:t>
      </w:r>
      <w:r>
        <w:rPr>
          <w:rFonts w:ascii="仿宋" w:hAnsi="仿宋" w:eastAsia="仿宋"/>
          <w:kern w:val="0"/>
          <w:sz w:val="32"/>
          <w:szCs w:val="32"/>
        </w:rPr>
        <w:t>不能为</w:t>
      </w:r>
      <w:r>
        <w:rPr>
          <w:rFonts w:hint="eastAsia" w:ascii="仿宋" w:hAnsi="仿宋" w:eastAsia="仿宋"/>
          <w:kern w:val="0"/>
          <w:sz w:val="32"/>
          <w:szCs w:val="32"/>
        </w:rPr>
        <w:t>交易商提供资金结算服务。</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（四</w:t>
      </w:r>
      <w:r>
        <w:rPr>
          <w:rFonts w:ascii="仿宋" w:hAnsi="仿宋" w:eastAsia="仿宋"/>
          <w:kern w:val="0"/>
          <w:sz w:val="32"/>
          <w:szCs w:val="32"/>
        </w:rPr>
        <w:t>）</w:t>
      </w:r>
      <w:r>
        <w:rPr>
          <w:rFonts w:hint="eastAsia" w:ascii="仿宋" w:hAnsi="仿宋" w:eastAsia="仿宋"/>
          <w:kern w:val="0"/>
          <w:sz w:val="32"/>
          <w:szCs w:val="32"/>
        </w:rPr>
        <w:t>上海清算所</w:t>
      </w:r>
      <w:r>
        <w:rPr>
          <w:rFonts w:ascii="仿宋" w:hAnsi="仿宋" w:eastAsia="仿宋"/>
          <w:kern w:val="0"/>
          <w:sz w:val="32"/>
          <w:szCs w:val="32"/>
        </w:rPr>
        <w:t>认定的其他情形。</w:t>
      </w:r>
    </w:p>
    <w:p>
      <w:pPr>
        <w:pStyle w:val="36"/>
        <w:numPr>
          <w:ilvl w:val="0"/>
          <w:numId w:val="3"/>
        </w:numPr>
        <w:spacing w:line="580" w:lineRule="exact"/>
        <w:jc w:val="both"/>
        <w:rPr>
          <w:rFonts w:hAnsi="仿宋"/>
          <w:sz w:val="32"/>
          <w:szCs w:val="32"/>
        </w:rPr>
      </w:pPr>
      <w:r>
        <w:rPr>
          <w:rFonts w:hint="eastAsia" w:hAnsi="仿宋"/>
          <w:sz w:val="32"/>
          <w:szCs w:val="32"/>
        </w:rPr>
        <w:t>本业务支持同一交易商绑定多个资金结算账户。交易商新增资金结算账户的，需与相应现货清算成员签订协议，由其现货平台向上海清算所提交加盖交易商公章，现货平台公章或预留印鉴章的《大宗商品现货清算业务交易商新增现货清算成员申请表》（附2）。上海清算所完成新增操作，并通知现货平台及现货清算成员。</w:t>
      </w:r>
    </w:p>
    <w:p>
      <w:pPr>
        <w:pStyle w:val="36"/>
        <w:numPr>
          <w:ilvl w:val="0"/>
          <w:numId w:val="3"/>
        </w:numPr>
        <w:spacing w:line="580" w:lineRule="exact"/>
        <w:jc w:val="both"/>
        <w:rPr>
          <w:rFonts w:hAnsi="仿宋"/>
          <w:sz w:val="32"/>
          <w:szCs w:val="32"/>
        </w:rPr>
      </w:pPr>
      <w:r>
        <w:rPr>
          <w:rFonts w:hint="eastAsia" w:hAnsi="仿宋"/>
          <w:sz w:val="32"/>
          <w:szCs w:val="32"/>
        </w:rPr>
        <w:t>交易商名称</w:t>
      </w:r>
      <w:r>
        <w:rPr>
          <w:rFonts w:hAnsi="仿宋"/>
          <w:sz w:val="32"/>
          <w:szCs w:val="32"/>
        </w:rPr>
        <w:t>、资金结算账户等信息变更的，</w:t>
      </w:r>
      <w:r>
        <w:rPr>
          <w:rFonts w:hint="eastAsia" w:hAnsi="仿宋"/>
          <w:sz w:val="32"/>
          <w:szCs w:val="32"/>
        </w:rPr>
        <w:t>由其现货平台向上海清算所提交加盖交易商公章，现货平台公章或预留印鉴章的《大宗商品现货清算业务机构信息</w:t>
      </w:r>
      <w:r>
        <w:rPr>
          <w:rFonts w:hAnsi="仿宋"/>
          <w:sz w:val="32"/>
          <w:szCs w:val="32"/>
        </w:rPr>
        <w:t>变更报备</w:t>
      </w:r>
      <w:r>
        <w:rPr>
          <w:rFonts w:hint="eastAsia" w:hAnsi="仿宋"/>
          <w:sz w:val="32"/>
          <w:szCs w:val="32"/>
        </w:rPr>
        <w:t>单》（附</w:t>
      </w:r>
      <w:r>
        <w:rPr>
          <w:rFonts w:hAnsi="仿宋"/>
          <w:sz w:val="32"/>
          <w:szCs w:val="32"/>
        </w:rPr>
        <w:t>3</w:t>
      </w:r>
      <w:r>
        <w:rPr>
          <w:rFonts w:hint="eastAsia" w:hAnsi="仿宋"/>
          <w:sz w:val="32"/>
          <w:szCs w:val="32"/>
        </w:rPr>
        <w:t>）。上海清算所</w:t>
      </w:r>
      <w:r>
        <w:rPr>
          <w:rFonts w:hAnsi="仿宋"/>
          <w:sz w:val="32"/>
          <w:szCs w:val="32"/>
        </w:rPr>
        <w:t>完成变更操作，并通知现货平台及现货清算成员。</w:t>
      </w:r>
    </w:p>
    <w:p>
      <w:pPr>
        <w:pStyle w:val="36"/>
        <w:numPr>
          <w:ilvl w:val="0"/>
          <w:numId w:val="3"/>
        </w:numPr>
        <w:spacing w:line="580" w:lineRule="exact"/>
        <w:jc w:val="both"/>
        <w:rPr>
          <w:rFonts w:hAnsi="仿宋"/>
          <w:sz w:val="32"/>
          <w:szCs w:val="32"/>
        </w:rPr>
      </w:pPr>
      <w:r>
        <w:rPr>
          <w:rFonts w:hint="eastAsia" w:hAnsi="仿宋"/>
          <w:sz w:val="32"/>
          <w:szCs w:val="32"/>
        </w:rPr>
        <w:t>交易商退市或被其现货平台取消业务</w:t>
      </w:r>
      <w:r>
        <w:rPr>
          <w:rFonts w:hAnsi="仿宋"/>
          <w:sz w:val="32"/>
          <w:szCs w:val="32"/>
        </w:rPr>
        <w:t>参与</w:t>
      </w:r>
      <w:r>
        <w:rPr>
          <w:rFonts w:hint="eastAsia" w:hAnsi="仿宋"/>
          <w:sz w:val="32"/>
          <w:szCs w:val="32"/>
        </w:rPr>
        <w:t>资格的，由其现货平台向上海清算所提交加盖</w:t>
      </w:r>
      <w:r>
        <w:rPr>
          <w:rFonts w:hAnsi="仿宋"/>
          <w:sz w:val="32"/>
          <w:szCs w:val="32"/>
        </w:rPr>
        <w:t>现货平台公章或</w:t>
      </w:r>
      <w:r>
        <w:rPr>
          <w:rFonts w:hint="eastAsia" w:hAnsi="仿宋"/>
          <w:sz w:val="32"/>
          <w:szCs w:val="32"/>
        </w:rPr>
        <w:t>预留</w:t>
      </w:r>
      <w:r>
        <w:rPr>
          <w:rFonts w:hAnsi="仿宋"/>
          <w:sz w:val="32"/>
          <w:szCs w:val="32"/>
        </w:rPr>
        <w:t>印鉴章的</w:t>
      </w:r>
      <w:r>
        <w:rPr>
          <w:rFonts w:hint="eastAsia" w:hAnsi="仿宋"/>
          <w:sz w:val="32"/>
          <w:szCs w:val="32"/>
        </w:rPr>
        <w:t>《大宗商品现货清算业务交易商注销申请表》（附</w:t>
      </w:r>
      <w:r>
        <w:rPr>
          <w:rFonts w:hAnsi="仿宋"/>
          <w:sz w:val="32"/>
          <w:szCs w:val="32"/>
        </w:rPr>
        <w:t>4</w:t>
      </w:r>
      <w:r>
        <w:rPr>
          <w:rFonts w:hint="eastAsia" w:hAnsi="仿宋"/>
          <w:sz w:val="32"/>
          <w:szCs w:val="32"/>
        </w:rPr>
        <w:t>）。</w:t>
      </w:r>
    </w:p>
    <w:p>
      <w:pPr>
        <w:spacing w:line="580" w:lineRule="exact"/>
        <w:ind w:left="-141" w:leftChars="-67" w:firstLine="640" w:firstLineChars="200"/>
        <w:rPr>
          <w:rFonts w:ascii="仿宋" w:hAnsi="仿宋" w:eastAsia="仿宋"/>
          <w:sz w:val="32"/>
          <w:szCs w:val="32"/>
        </w:rPr>
      </w:pPr>
      <w:r>
        <w:rPr>
          <w:rFonts w:hint="eastAsia" w:ascii="仿宋" w:hAnsi="仿宋" w:eastAsia="仿宋"/>
          <w:kern w:val="0"/>
          <w:sz w:val="32"/>
          <w:szCs w:val="32"/>
        </w:rPr>
        <w:t>上海清算所检查相关交易商交易</w:t>
      </w:r>
      <w:r>
        <w:rPr>
          <w:rFonts w:ascii="仿宋" w:hAnsi="仿宋" w:eastAsia="仿宋"/>
          <w:kern w:val="0"/>
          <w:sz w:val="32"/>
          <w:szCs w:val="32"/>
        </w:rPr>
        <w:t>相关数据状态</w:t>
      </w:r>
      <w:r>
        <w:rPr>
          <w:rFonts w:hint="eastAsia" w:ascii="仿宋" w:hAnsi="仿宋" w:eastAsia="仿宋"/>
          <w:kern w:val="0"/>
          <w:sz w:val="32"/>
          <w:szCs w:val="32"/>
        </w:rPr>
        <w:t>，仅当该交易商所有交易相关数据均完成处理后，方可注销。检查通过的，上海清算所完成注销操作，并</w:t>
      </w:r>
      <w:r>
        <w:rPr>
          <w:rFonts w:ascii="仿宋" w:hAnsi="仿宋" w:eastAsia="仿宋"/>
          <w:kern w:val="0"/>
          <w:sz w:val="32"/>
          <w:szCs w:val="32"/>
        </w:rPr>
        <w:t>通知</w:t>
      </w:r>
      <w:r>
        <w:rPr>
          <w:rFonts w:hint="eastAsia" w:ascii="仿宋" w:hAnsi="仿宋" w:eastAsia="仿宋"/>
          <w:kern w:val="0"/>
          <w:sz w:val="32"/>
          <w:szCs w:val="32"/>
        </w:rPr>
        <w:t>现货平台及现货清算成员。</w:t>
      </w:r>
    </w:p>
    <w:p>
      <w:pPr>
        <w:spacing w:line="580" w:lineRule="exact"/>
        <w:ind w:left="-141" w:leftChars="-67" w:firstLine="640" w:firstLineChars="200"/>
        <w:rPr>
          <w:rFonts w:ascii="仿宋" w:hAnsi="仿宋" w:eastAsia="仿宋"/>
          <w:sz w:val="32"/>
          <w:szCs w:val="32"/>
        </w:rPr>
      </w:pPr>
      <w:r>
        <w:rPr>
          <w:rFonts w:hint="eastAsia" w:ascii="仿宋" w:hAnsi="仿宋" w:eastAsia="仿宋"/>
          <w:kern w:val="0"/>
          <w:sz w:val="32"/>
          <w:szCs w:val="32"/>
        </w:rPr>
        <w:t>交易相关数据包括但不限于卖方挂单申请、买方议价申请、撤销申请、成交数据以及对应的资金冻结、解冻、划转指令等。</w:t>
      </w:r>
    </w:p>
    <w:p>
      <w:pPr>
        <w:pStyle w:val="36"/>
        <w:numPr>
          <w:ilvl w:val="0"/>
          <w:numId w:val="3"/>
        </w:numPr>
        <w:spacing w:line="580" w:lineRule="exact"/>
        <w:jc w:val="both"/>
        <w:rPr>
          <w:rFonts w:hAnsi="仿宋"/>
          <w:sz w:val="32"/>
          <w:szCs w:val="32"/>
        </w:rPr>
      </w:pPr>
      <w:r>
        <w:rPr>
          <w:rFonts w:hint="eastAsia" w:hAnsi="仿宋"/>
          <w:sz w:val="32"/>
          <w:szCs w:val="32"/>
        </w:rPr>
        <w:t>交易商违反上海清算所相关规定的</w:t>
      </w:r>
      <w:r>
        <w:rPr>
          <w:rFonts w:hAnsi="仿宋"/>
          <w:sz w:val="32"/>
          <w:szCs w:val="32"/>
        </w:rPr>
        <w:t>，上海清算所有权</w:t>
      </w:r>
      <w:r>
        <w:rPr>
          <w:rFonts w:hint="eastAsia" w:hAnsi="仿宋"/>
          <w:sz w:val="32"/>
          <w:szCs w:val="32"/>
        </w:rPr>
        <w:t>将该交易商</w:t>
      </w:r>
      <w:r>
        <w:rPr>
          <w:rFonts w:hAnsi="仿宋"/>
          <w:sz w:val="32"/>
          <w:szCs w:val="32"/>
        </w:rPr>
        <w:t>注销。</w:t>
      </w:r>
    </w:p>
    <w:p>
      <w:pPr>
        <w:pStyle w:val="4"/>
        <w:spacing w:line="580" w:lineRule="exact"/>
        <w:ind w:left="0"/>
        <w:rPr>
          <w:sz w:val="32"/>
          <w:szCs w:val="32"/>
        </w:rPr>
      </w:pPr>
      <w:bookmarkStart w:id="11" w:name="_Toc414873493"/>
      <w:bookmarkEnd w:id="11"/>
      <w:bookmarkStart w:id="12" w:name="_Toc134628737"/>
      <w:bookmarkStart w:id="13" w:name="_Toc41292897"/>
      <w:r>
        <w:rPr>
          <w:rFonts w:hint="eastAsia"/>
          <w:sz w:val="32"/>
          <w:szCs w:val="32"/>
        </w:rPr>
        <w:t>合作平台</w:t>
      </w:r>
      <w:bookmarkEnd w:id="12"/>
      <w:bookmarkEnd w:id="13"/>
    </w:p>
    <w:p>
      <w:pPr>
        <w:pStyle w:val="36"/>
        <w:numPr>
          <w:ilvl w:val="0"/>
          <w:numId w:val="3"/>
        </w:numPr>
        <w:spacing w:line="580" w:lineRule="exact"/>
        <w:jc w:val="both"/>
        <w:rPr>
          <w:rFonts w:hAnsi="仿宋"/>
          <w:sz w:val="32"/>
          <w:szCs w:val="32"/>
        </w:rPr>
      </w:pPr>
      <w:r>
        <w:rPr>
          <w:rFonts w:hint="eastAsia" w:hAnsi="仿宋"/>
          <w:sz w:val="32"/>
          <w:szCs w:val="32"/>
        </w:rPr>
        <w:t>合作平台</w:t>
      </w:r>
      <w:r>
        <w:rPr>
          <w:rFonts w:hAnsi="仿宋"/>
          <w:sz w:val="32"/>
          <w:szCs w:val="32"/>
        </w:rPr>
        <w:t>包括但不限于</w:t>
      </w:r>
      <w:r>
        <w:rPr>
          <w:rFonts w:hint="eastAsia" w:hAnsi="仿宋"/>
          <w:sz w:val="32"/>
          <w:szCs w:val="32"/>
        </w:rPr>
        <w:t>现货</w:t>
      </w:r>
      <w:r>
        <w:rPr>
          <w:rFonts w:hAnsi="仿宋"/>
          <w:sz w:val="32"/>
          <w:szCs w:val="32"/>
        </w:rPr>
        <w:t>平台、公示平台等</w:t>
      </w:r>
      <w:r>
        <w:rPr>
          <w:rFonts w:hint="eastAsia" w:hAnsi="仿宋"/>
          <w:sz w:val="32"/>
          <w:szCs w:val="32"/>
        </w:rPr>
        <w:t>，公示</w:t>
      </w:r>
      <w:r>
        <w:rPr>
          <w:rFonts w:hAnsi="仿宋"/>
          <w:sz w:val="32"/>
          <w:szCs w:val="32"/>
        </w:rPr>
        <w:t>平台相关规定参</w:t>
      </w:r>
      <w:r>
        <w:rPr>
          <w:rFonts w:hint="eastAsia" w:hAnsi="仿宋"/>
          <w:sz w:val="32"/>
          <w:szCs w:val="32"/>
        </w:rPr>
        <w:t>见</w:t>
      </w:r>
      <w:r>
        <w:rPr>
          <w:rFonts w:hAnsi="仿宋"/>
          <w:sz w:val="32"/>
          <w:szCs w:val="32"/>
        </w:rPr>
        <w:t>《业务规则》。</w:t>
      </w:r>
    </w:p>
    <w:p>
      <w:pPr>
        <w:pStyle w:val="36"/>
        <w:numPr>
          <w:ilvl w:val="0"/>
          <w:numId w:val="3"/>
        </w:numPr>
        <w:spacing w:line="580" w:lineRule="exact"/>
        <w:jc w:val="both"/>
        <w:rPr>
          <w:rFonts w:hAnsi="仿宋"/>
          <w:sz w:val="32"/>
          <w:szCs w:val="32"/>
        </w:rPr>
      </w:pPr>
      <w:r>
        <w:rPr>
          <w:rFonts w:hint="eastAsia" w:hAnsi="仿宋"/>
          <w:sz w:val="32"/>
          <w:szCs w:val="32"/>
        </w:rPr>
        <w:t>现货平台</w:t>
      </w:r>
      <w:r>
        <w:rPr>
          <w:rFonts w:hAnsi="仿宋"/>
          <w:sz w:val="32"/>
          <w:szCs w:val="32"/>
        </w:rPr>
        <w:t>包括现货交易平台和现货交收平台</w:t>
      </w:r>
      <w:r>
        <w:rPr>
          <w:rFonts w:hint="eastAsia" w:hAnsi="仿宋"/>
          <w:sz w:val="32"/>
          <w:szCs w:val="32"/>
        </w:rPr>
        <w:t>。</w:t>
      </w:r>
      <w:r>
        <w:rPr>
          <w:rFonts w:hAnsi="仿宋"/>
          <w:sz w:val="32"/>
          <w:szCs w:val="32"/>
        </w:rPr>
        <w:t>其中，现货交易平台为交易商提供大宗商品现货相关交易交收服务，现货交收平台仅为交易商提供大宗商品现货相关交收服务。</w:t>
      </w:r>
    </w:p>
    <w:p>
      <w:pPr>
        <w:pStyle w:val="36"/>
        <w:numPr>
          <w:ilvl w:val="0"/>
          <w:numId w:val="3"/>
        </w:numPr>
        <w:spacing w:line="580" w:lineRule="exact"/>
        <w:jc w:val="both"/>
        <w:rPr>
          <w:rFonts w:hAnsi="仿宋"/>
          <w:sz w:val="32"/>
          <w:szCs w:val="32"/>
        </w:rPr>
      </w:pPr>
      <w:r>
        <w:rPr>
          <w:rFonts w:hint="eastAsia" w:hAnsi="仿宋"/>
          <w:sz w:val="32"/>
          <w:szCs w:val="32"/>
        </w:rPr>
        <w:t>现货平台</w:t>
      </w:r>
      <w:r>
        <w:rPr>
          <w:rFonts w:hAnsi="仿宋"/>
          <w:sz w:val="32"/>
          <w:szCs w:val="32"/>
        </w:rPr>
        <w:t>通过上海清算所办理</w:t>
      </w:r>
      <w:r>
        <w:rPr>
          <w:rFonts w:hint="eastAsia" w:hAnsi="仿宋"/>
          <w:sz w:val="32"/>
          <w:szCs w:val="32"/>
        </w:rPr>
        <w:t>大宗商品现货交易</w:t>
      </w:r>
      <w:r>
        <w:rPr>
          <w:rFonts w:hAnsi="仿宋"/>
          <w:sz w:val="32"/>
          <w:szCs w:val="32"/>
        </w:rPr>
        <w:t>的资金清算结算，应</w:t>
      </w:r>
      <w:r>
        <w:rPr>
          <w:rFonts w:hint="eastAsia" w:hAnsi="仿宋"/>
          <w:sz w:val="32"/>
          <w:szCs w:val="32"/>
        </w:rPr>
        <w:t>符合如下条件：</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注册在境内的公司法人。</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（二</w:t>
      </w:r>
      <w:r>
        <w:rPr>
          <w:rFonts w:ascii="仿宋" w:hAnsi="仿宋" w:eastAsia="仿宋"/>
          <w:kern w:val="0"/>
          <w:sz w:val="32"/>
          <w:szCs w:val="32"/>
        </w:rPr>
        <w:t>）符合</w:t>
      </w:r>
      <w:r>
        <w:rPr>
          <w:rFonts w:hint="eastAsia" w:ascii="仿宋" w:hAnsi="仿宋" w:eastAsia="仿宋"/>
          <w:kern w:val="0"/>
          <w:sz w:val="32"/>
          <w:szCs w:val="32"/>
        </w:rPr>
        <w:t>相关</w:t>
      </w:r>
      <w:r>
        <w:rPr>
          <w:rFonts w:ascii="仿宋" w:hAnsi="仿宋" w:eastAsia="仿宋"/>
          <w:kern w:val="0"/>
          <w:sz w:val="32"/>
          <w:szCs w:val="32"/>
        </w:rPr>
        <w:t>监管部门</w:t>
      </w:r>
      <w:r>
        <w:rPr>
          <w:rFonts w:hint="eastAsia" w:ascii="仿宋" w:hAnsi="仿宋" w:eastAsia="仿宋"/>
          <w:kern w:val="0"/>
          <w:sz w:val="32"/>
          <w:szCs w:val="32"/>
        </w:rPr>
        <w:t>规定和金融基础设施</w:t>
      </w:r>
      <w:r>
        <w:rPr>
          <w:rFonts w:ascii="仿宋" w:hAnsi="仿宋" w:eastAsia="仿宋"/>
          <w:kern w:val="0"/>
          <w:sz w:val="32"/>
          <w:szCs w:val="32"/>
        </w:rPr>
        <w:t>规定（</w:t>
      </w:r>
      <w:r>
        <w:rPr>
          <w:rFonts w:hint="eastAsia" w:ascii="仿宋" w:hAnsi="仿宋" w:eastAsia="仿宋"/>
          <w:kern w:val="0"/>
          <w:sz w:val="32"/>
          <w:szCs w:val="32"/>
        </w:rPr>
        <w:t>或有</w:t>
      </w:r>
      <w:r>
        <w:rPr>
          <w:rFonts w:ascii="仿宋" w:hAnsi="仿宋" w:eastAsia="仿宋"/>
          <w:kern w:val="0"/>
          <w:sz w:val="32"/>
          <w:szCs w:val="32"/>
        </w:rPr>
        <w:t>），可</w:t>
      </w:r>
      <w:r>
        <w:rPr>
          <w:rFonts w:hint="eastAsia" w:ascii="仿宋" w:hAnsi="仿宋" w:eastAsia="仿宋"/>
          <w:kern w:val="0"/>
          <w:sz w:val="32"/>
          <w:szCs w:val="32"/>
        </w:rPr>
        <w:t>为</w:t>
      </w:r>
      <w:r>
        <w:rPr>
          <w:rFonts w:ascii="仿宋" w:hAnsi="仿宋" w:eastAsia="仿宋"/>
          <w:kern w:val="0"/>
          <w:sz w:val="32"/>
          <w:szCs w:val="32"/>
        </w:rPr>
        <w:t>交易商提供大宗商品</w:t>
      </w:r>
      <w:r>
        <w:rPr>
          <w:rFonts w:hint="eastAsia" w:ascii="仿宋" w:hAnsi="仿宋" w:eastAsia="仿宋"/>
          <w:kern w:val="0"/>
          <w:sz w:val="32"/>
          <w:szCs w:val="32"/>
        </w:rPr>
        <w:t>现货</w:t>
      </w:r>
      <w:r>
        <w:rPr>
          <w:rFonts w:ascii="仿宋" w:hAnsi="仿宋" w:eastAsia="仿宋"/>
          <w:kern w:val="0"/>
          <w:sz w:val="32"/>
          <w:szCs w:val="32"/>
        </w:rPr>
        <w:t>交易交收</w:t>
      </w:r>
      <w:r>
        <w:rPr>
          <w:rFonts w:hint="eastAsia" w:ascii="仿宋" w:hAnsi="仿宋" w:eastAsia="仿宋"/>
          <w:kern w:val="0"/>
          <w:sz w:val="32"/>
          <w:szCs w:val="32"/>
        </w:rPr>
        <w:t>服务。</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（三</w:t>
      </w:r>
      <w:r>
        <w:rPr>
          <w:rFonts w:ascii="仿宋" w:hAnsi="仿宋" w:eastAsia="仿宋"/>
          <w:kern w:val="0"/>
          <w:sz w:val="32"/>
          <w:szCs w:val="32"/>
        </w:rPr>
        <w:t>）</w:t>
      </w:r>
      <w:r>
        <w:rPr>
          <w:rFonts w:hint="eastAsia" w:ascii="仿宋" w:hAnsi="仿宋" w:eastAsia="仿宋"/>
          <w:kern w:val="0"/>
          <w:sz w:val="32"/>
          <w:szCs w:val="32"/>
        </w:rPr>
        <w:t>具备资本实力和风险承受能力，注册资本应当满足经营活动和风险处置需要。</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（四</w:t>
      </w:r>
      <w:r>
        <w:rPr>
          <w:rFonts w:ascii="仿宋" w:hAnsi="仿宋" w:eastAsia="仿宋"/>
          <w:kern w:val="0"/>
          <w:sz w:val="32"/>
          <w:szCs w:val="32"/>
        </w:rPr>
        <w:t>）提供</w:t>
      </w:r>
      <w:r>
        <w:rPr>
          <w:rFonts w:hint="eastAsia" w:ascii="仿宋" w:hAnsi="仿宋" w:eastAsia="仿宋"/>
          <w:kern w:val="0"/>
          <w:sz w:val="32"/>
          <w:szCs w:val="32"/>
        </w:rPr>
        <w:t>的大宗商品</w:t>
      </w:r>
      <w:r>
        <w:rPr>
          <w:rFonts w:ascii="仿宋" w:hAnsi="仿宋" w:eastAsia="仿宋"/>
          <w:kern w:val="0"/>
          <w:sz w:val="32"/>
          <w:szCs w:val="32"/>
        </w:rPr>
        <w:t>现货</w:t>
      </w:r>
      <w:r>
        <w:rPr>
          <w:rFonts w:hint="eastAsia" w:ascii="仿宋" w:hAnsi="仿宋" w:eastAsia="仿宋"/>
          <w:kern w:val="0"/>
          <w:sz w:val="32"/>
          <w:szCs w:val="32"/>
        </w:rPr>
        <w:t>相关</w:t>
      </w:r>
      <w:r>
        <w:rPr>
          <w:rFonts w:ascii="仿宋" w:hAnsi="仿宋" w:eastAsia="仿宋"/>
          <w:kern w:val="0"/>
          <w:sz w:val="32"/>
          <w:szCs w:val="32"/>
        </w:rPr>
        <w:t>服务</w:t>
      </w:r>
      <w:r>
        <w:rPr>
          <w:rFonts w:hint="eastAsia" w:ascii="仿宋" w:hAnsi="仿宋" w:eastAsia="仿宋"/>
          <w:kern w:val="0"/>
          <w:sz w:val="32"/>
          <w:szCs w:val="32"/>
        </w:rPr>
        <w:t>具有较高市场潜力</w:t>
      </w:r>
      <w:r>
        <w:rPr>
          <w:rFonts w:ascii="仿宋" w:hAnsi="仿宋" w:eastAsia="仿宋"/>
          <w:kern w:val="0"/>
          <w:sz w:val="32"/>
          <w:szCs w:val="32"/>
        </w:rPr>
        <w:t>或市场价值，产业链</w:t>
      </w:r>
      <w:r>
        <w:rPr>
          <w:rFonts w:hint="eastAsia" w:ascii="仿宋" w:hAnsi="仿宋" w:eastAsia="仿宋"/>
          <w:kern w:val="0"/>
          <w:sz w:val="32"/>
          <w:szCs w:val="32"/>
        </w:rPr>
        <w:t>实体</w:t>
      </w:r>
      <w:r>
        <w:rPr>
          <w:rFonts w:ascii="仿宋" w:hAnsi="仿宋" w:eastAsia="仿宋"/>
          <w:kern w:val="0"/>
          <w:sz w:val="32"/>
          <w:szCs w:val="32"/>
        </w:rPr>
        <w:t>企业广泛</w:t>
      </w:r>
      <w:r>
        <w:rPr>
          <w:rFonts w:hint="eastAsia" w:ascii="仿宋" w:hAnsi="仿宋" w:eastAsia="仿宋"/>
          <w:kern w:val="0"/>
          <w:sz w:val="32"/>
          <w:szCs w:val="32"/>
        </w:rPr>
        <w:t>参与</w:t>
      </w:r>
      <w:r>
        <w:rPr>
          <w:rFonts w:ascii="仿宋" w:hAnsi="仿宋" w:eastAsia="仿宋"/>
          <w:kern w:val="0"/>
          <w:sz w:val="32"/>
          <w:szCs w:val="32"/>
        </w:rPr>
        <w:t>，</w:t>
      </w:r>
      <w:r>
        <w:rPr>
          <w:rFonts w:hint="eastAsia" w:ascii="仿宋" w:hAnsi="仿宋" w:eastAsia="仿宋"/>
          <w:kern w:val="0"/>
          <w:sz w:val="32"/>
          <w:szCs w:val="32"/>
        </w:rPr>
        <w:t>具有</w:t>
      </w:r>
      <w:r>
        <w:rPr>
          <w:rFonts w:ascii="仿宋" w:hAnsi="仿宋" w:eastAsia="仿宋"/>
          <w:kern w:val="0"/>
          <w:sz w:val="32"/>
          <w:szCs w:val="32"/>
        </w:rPr>
        <w:t>较好的市场发展基础</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（五</w:t>
      </w:r>
      <w:r>
        <w:rPr>
          <w:rFonts w:ascii="仿宋" w:hAnsi="仿宋" w:eastAsia="仿宋"/>
          <w:kern w:val="0"/>
          <w:sz w:val="32"/>
          <w:szCs w:val="32"/>
        </w:rPr>
        <w:t>）</w:t>
      </w:r>
      <w:r>
        <w:rPr>
          <w:rFonts w:hint="eastAsia" w:ascii="仿宋" w:hAnsi="仿宋" w:eastAsia="仿宋"/>
          <w:kern w:val="0"/>
          <w:sz w:val="32"/>
          <w:szCs w:val="32"/>
        </w:rPr>
        <w:t>交易</w:t>
      </w:r>
      <w:r>
        <w:rPr>
          <w:rFonts w:ascii="仿宋" w:hAnsi="仿宋" w:eastAsia="仿宋"/>
          <w:kern w:val="0"/>
          <w:sz w:val="32"/>
          <w:szCs w:val="32"/>
        </w:rPr>
        <w:t>/交</w:t>
      </w:r>
      <w:r>
        <w:rPr>
          <w:rFonts w:hint="eastAsia" w:ascii="仿宋" w:hAnsi="仿宋" w:eastAsia="仿宋"/>
          <w:kern w:val="0"/>
          <w:sz w:val="32"/>
          <w:szCs w:val="32"/>
        </w:rPr>
        <w:t>收品种</w:t>
      </w:r>
      <w:r>
        <w:rPr>
          <w:rFonts w:ascii="仿宋" w:hAnsi="仿宋" w:eastAsia="仿宋"/>
          <w:kern w:val="0"/>
          <w:sz w:val="32"/>
          <w:szCs w:val="32"/>
        </w:rPr>
        <w:t>为</w:t>
      </w:r>
      <w:r>
        <w:rPr>
          <w:rFonts w:hint="eastAsia" w:ascii="仿宋" w:hAnsi="仿宋" w:eastAsia="仿宋"/>
          <w:kern w:val="0"/>
          <w:sz w:val="32"/>
          <w:szCs w:val="32"/>
        </w:rPr>
        <w:t>符合</w:t>
      </w:r>
      <w:r>
        <w:rPr>
          <w:rFonts w:ascii="仿宋" w:hAnsi="仿宋" w:eastAsia="仿宋"/>
          <w:kern w:val="0"/>
          <w:sz w:val="32"/>
          <w:szCs w:val="32"/>
        </w:rPr>
        <w:t>国家发展战略、关系国计民生的大宗商品</w:t>
      </w:r>
      <w:r>
        <w:rPr>
          <w:rFonts w:hint="eastAsia" w:ascii="仿宋" w:hAnsi="仿宋" w:eastAsia="仿宋"/>
          <w:kern w:val="0"/>
          <w:sz w:val="32"/>
          <w:szCs w:val="32"/>
        </w:rPr>
        <w:t>，且</w:t>
      </w:r>
      <w:r>
        <w:rPr>
          <w:rFonts w:ascii="仿宋" w:hAnsi="仿宋" w:eastAsia="仿宋"/>
          <w:kern w:val="0"/>
          <w:sz w:val="32"/>
          <w:szCs w:val="32"/>
        </w:rPr>
        <w:t>以</w:t>
      </w:r>
      <w:r>
        <w:rPr>
          <w:rFonts w:hint="eastAsia" w:ascii="仿宋" w:hAnsi="仿宋" w:eastAsia="仿宋"/>
          <w:kern w:val="0"/>
          <w:sz w:val="32"/>
          <w:szCs w:val="32"/>
        </w:rPr>
        <w:t>人民币计价</w:t>
      </w:r>
      <w:r>
        <w:rPr>
          <w:rFonts w:ascii="仿宋" w:hAnsi="仿宋" w:eastAsia="仿宋"/>
          <w:kern w:val="0"/>
          <w:sz w:val="32"/>
          <w:szCs w:val="32"/>
        </w:rPr>
        <w:t>、清算和结算</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（六</w:t>
      </w:r>
      <w:r>
        <w:rPr>
          <w:rFonts w:ascii="仿宋" w:hAnsi="仿宋" w:eastAsia="仿宋"/>
          <w:kern w:val="0"/>
          <w:sz w:val="32"/>
          <w:szCs w:val="32"/>
        </w:rPr>
        <w:t>）</w:t>
      </w:r>
      <w:r>
        <w:rPr>
          <w:rFonts w:hint="eastAsia" w:ascii="仿宋" w:hAnsi="仿宋" w:eastAsia="仿宋"/>
          <w:kern w:val="0"/>
          <w:sz w:val="32"/>
          <w:szCs w:val="32"/>
        </w:rPr>
        <w:t>具有健全的组织</w:t>
      </w:r>
      <w:r>
        <w:rPr>
          <w:rFonts w:ascii="仿宋" w:hAnsi="仿宋" w:eastAsia="仿宋"/>
          <w:kern w:val="0"/>
          <w:sz w:val="32"/>
          <w:szCs w:val="32"/>
        </w:rPr>
        <w:t>架构</w:t>
      </w:r>
      <w:r>
        <w:rPr>
          <w:rFonts w:hint="eastAsia" w:ascii="仿宋" w:hAnsi="仿宋" w:eastAsia="仿宋"/>
          <w:kern w:val="0"/>
          <w:sz w:val="32"/>
          <w:szCs w:val="32"/>
        </w:rPr>
        <w:t>、管理制度和内部控制机制。</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（七</w:t>
      </w:r>
      <w:r>
        <w:rPr>
          <w:rFonts w:ascii="仿宋" w:hAnsi="仿宋" w:eastAsia="仿宋"/>
          <w:kern w:val="0"/>
          <w:sz w:val="32"/>
          <w:szCs w:val="32"/>
        </w:rPr>
        <w:t>）</w:t>
      </w:r>
      <w:r>
        <w:rPr>
          <w:rFonts w:hint="eastAsia" w:ascii="仿宋" w:hAnsi="仿宋" w:eastAsia="仿宋"/>
          <w:kern w:val="0"/>
          <w:sz w:val="32"/>
          <w:szCs w:val="32"/>
        </w:rPr>
        <w:t>具有与业务经营相适应的营业场所。</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（八</w:t>
      </w:r>
      <w:r>
        <w:rPr>
          <w:rFonts w:ascii="仿宋" w:hAnsi="仿宋" w:eastAsia="仿宋"/>
          <w:kern w:val="0"/>
          <w:sz w:val="32"/>
          <w:szCs w:val="32"/>
        </w:rPr>
        <w:t>）</w:t>
      </w:r>
      <w:r>
        <w:rPr>
          <w:rFonts w:hint="eastAsia" w:ascii="仿宋" w:hAnsi="仿宋" w:eastAsia="仿宋"/>
          <w:kern w:val="0"/>
          <w:sz w:val="32"/>
          <w:szCs w:val="32"/>
        </w:rPr>
        <w:t>服务</w:t>
      </w:r>
      <w:r>
        <w:rPr>
          <w:rFonts w:ascii="仿宋" w:hAnsi="仿宋" w:eastAsia="仿宋"/>
          <w:kern w:val="0"/>
          <w:sz w:val="32"/>
          <w:szCs w:val="32"/>
        </w:rPr>
        <w:t>对象（即</w:t>
      </w:r>
      <w:r>
        <w:rPr>
          <w:rFonts w:hint="eastAsia" w:ascii="仿宋" w:hAnsi="仿宋" w:eastAsia="仿宋"/>
          <w:kern w:val="0"/>
          <w:sz w:val="32"/>
          <w:szCs w:val="32"/>
        </w:rPr>
        <w:t>交易商）</w:t>
      </w:r>
      <w:r>
        <w:rPr>
          <w:rFonts w:ascii="仿宋" w:hAnsi="仿宋" w:eastAsia="仿宋"/>
          <w:kern w:val="0"/>
          <w:sz w:val="32"/>
          <w:szCs w:val="32"/>
        </w:rPr>
        <w:t>为</w:t>
      </w:r>
      <w:r>
        <w:rPr>
          <w:rFonts w:hint="eastAsia" w:ascii="仿宋" w:hAnsi="仿宋" w:eastAsia="仿宋"/>
          <w:kern w:val="0"/>
          <w:sz w:val="32"/>
          <w:szCs w:val="32"/>
        </w:rPr>
        <w:t>从事大宗商品贸易、生产、加工等经营活动的公司</w:t>
      </w:r>
      <w:r>
        <w:rPr>
          <w:rFonts w:ascii="仿宋" w:hAnsi="仿宋" w:eastAsia="仿宋"/>
          <w:kern w:val="0"/>
          <w:sz w:val="32"/>
          <w:szCs w:val="32"/>
        </w:rPr>
        <w:t>法人</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（九</w:t>
      </w:r>
      <w:r>
        <w:rPr>
          <w:rFonts w:ascii="仿宋" w:hAnsi="仿宋" w:eastAsia="仿宋"/>
          <w:kern w:val="0"/>
          <w:sz w:val="32"/>
          <w:szCs w:val="32"/>
        </w:rPr>
        <w:t>）</w:t>
      </w:r>
      <w:r>
        <w:rPr>
          <w:rFonts w:hint="eastAsia" w:ascii="仿宋" w:hAnsi="仿宋" w:eastAsia="仿宋"/>
          <w:kern w:val="0"/>
          <w:sz w:val="32"/>
          <w:szCs w:val="32"/>
        </w:rPr>
        <w:t>近三个完整年度内未发生相关违法违规事项。若成立时间不足三年的，则自成立以来未发生相关违法违规事项。</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（十</w:t>
      </w:r>
      <w:r>
        <w:rPr>
          <w:rFonts w:ascii="仿宋" w:hAnsi="仿宋" w:eastAsia="仿宋"/>
          <w:kern w:val="0"/>
          <w:sz w:val="32"/>
          <w:szCs w:val="32"/>
        </w:rPr>
        <w:t>）</w:t>
      </w:r>
      <w:r>
        <w:rPr>
          <w:rFonts w:hint="eastAsia" w:ascii="仿宋" w:hAnsi="仿宋" w:eastAsia="仿宋"/>
          <w:kern w:val="0"/>
          <w:sz w:val="32"/>
          <w:szCs w:val="32"/>
        </w:rPr>
        <w:t>认可并遵守上海清算所有关规定及协议。</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（十一</w:t>
      </w:r>
      <w:r>
        <w:rPr>
          <w:rFonts w:ascii="仿宋" w:hAnsi="仿宋" w:eastAsia="仿宋"/>
          <w:kern w:val="0"/>
          <w:sz w:val="32"/>
          <w:szCs w:val="32"/>
        </w:rPr>
        <w:t>）</w:t>
      </w:r>
      <w:r>
        <w:rPr>
          <w:rFonts w:hint="eastAsia" w:ascii="仿宋" w:hAnsi="仿宋" w:eastAsia="仿宋"/>
          <w:kern w:val="0"/>
          <w:sz w:val="32"/>
          <w:szCs w:val="32"/>
        </w:rPr>
        <w:t>上海清算所规定的其他条件。</w:t>
      </w:r>
    </w:p>
    <w:p>
      <w:pPr>
        <w:pStyle w:val="36"/>
        <w:numPr>
          <w:ilvl w:val="0"/>
          <w:numId w:val="3"/>
        </w:numPr>
        <w:spacing w:line="580" w:lineRule="exact"/>
        <w:jc w:val="both"/>
        <w:rPr>
          <w:rFonts w:hAnsi="仿宋"/>
          <w:sz w:val="32"/>
          <w:szCs w:val="32"/>
        </w:rPr>
      </w:pPr>
      <w:r>
        <w:rPr>
          <w:rFonts w:hint="eastAsia" w:hAnsi="仿宋"/>
          <w:sz w:val="32"/>
          <w:szCs w:val="32"/>
        </w:rPr>
        <w:t>现货平台需向上海清算所提交以下书面材料：</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《大宗商品现货清算业务现货平台资格申请书》（附</w:t>
      </w:r>
      <w:r>
        <w:rPr>
          <w:rFonts w:ascii="仿宋" w:hAnsi="仿宋" w:eastAsia="仿宋"/>
          <w:sz w:val="32"/>
          <w:szCs w:val="32"/>
        </w:rPr>
        <w:t>5</w:t>
      </w:r>
      <w:r>
        <w:rPr>
          <w:rFonts w:hint="eastAsia" w:ascii="仿宋" w:hAnsi="仿宋" w:eastAsia="仿宋"/>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（二</w:t>
      </w:r>
      <w:r>
        <w:rPr>
          <w:rFonts w:ascii="仿宋" w:hAnsi="仿宋" w:eastAsia="仿宋"/>
          <w:kern w:val="0"/>
          <w:sz w:val="32"/>
          <w:szCs w:val="32"/>
        </w:rPr>
        <w:t>）</w:t>
      </w:r>
      <w:r>
        <w:rPr>
          <w:rFonts w:hint="eastAsia" w:ascii="仿宋" w:hAnsi="仿宋" w:eastAsia="仿宋"/>
          <w:kern w:val="0"/>
          <w:sz w:val="32"/>
          <w:szCs w:val="32"/>
        </w:rPr>
        <w:t>《大宗商品现货清算业务现货</w:t>
      </w:r>
      <w:r>
        <w:rPr>
          <w:rFonts w:ascii="仿宋" w:hAnsi="仿宋" w:eastAsia="仿宋"/>
          <w:kern w:val="0"/>
          <w:sz w:val="32"/>
          <w:szCs w:val="32"/>
        </w:rPr>
        <w:t>平台</w:t>
      </w:r>
      <w:r>
        <w:rPr>
          <w:rFonts w:hint="eastAsia" w:ascii="仿宋" w:hAnsi="仿宋" w:eastAsia="仿宋"/>
          <w:kern w:val="0"/>
          <w:sz w:val="32"/>
          <w:szCs w:val="32"/>
        </w:rPr>
        <w:t>登记表</w:t>
      </w:r>
      <w:r>
        <w:rPr>
          <w:rFonts w:ascii="仿宋" w:hAnsi="仿宋" w:eastAsia="仿宋"/>
          <w:kern w:val="0"/>
          <w:sz w:val="32"/>
          <w:szCs w:val="32"/>
        </w:rPr>
        <w:t>》</w:t>
      </w:r>
      <w:r>
        <w:rPr>
          <w:rFonts w:hint="eastAsia" w:ascii="仿宋" w:hAnsi="仿宋" w:eastAsia="仿宋"/>
          <w:kern w:val="0"/>
          <w:sz w:val="32"/>
          <w:szCs w:val="32"/>
        </w:rPr>
        <w:t>（附</w:t>
      </w:r>
      <w:r>
        <w:rPr>
          <w:rFonts w:ascii="仿宋" w:hAnsi="仿宋" w:eastAsia="仿宋"/>
          <w:kern w:val="0"/>
          <w:sz w:val="32"/>
          <w:szCs w:val="32"/>
        </w:rPr>
        <w:t>6）</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（三</w:t>
      </w:r>
      <w:r>
        <w:rPr>
          <w:rFonts w:ascii="仿宋" w:hAnsi="仿宋" w:eastAsia="仿宋"/>
          <w:kern w:val="0"/>
          <w:sz w:val="32"/>
          <w:szCs w:val="32"/>
        </w:rPr>
        <w:t>）</w:t>
      </w:r>
      <w:r>
        <w:rPr>
          <w:rFonts w:hint="eastAsia" w:ascii="仿宋" w:hAnsi="仿宋" w:eastAsia="仿宋"/>
          <w:kern w:val="0"/>
          <w:sz w:val="32"/>
          <w:szCs w:val="32"/>
        </w:rPr>
        <w:t>《大宗商品现货清算业务印鉴卡</w:t>
      </w:r>
      <w:r>
        <w:rPr>
          <w:rFonts w:ascii="仿宋" w:hAnsi="仿宋" w:eastAsia="仿宋"/>
          <w:kern w:val="0"/>
          <w:sz w:val="32"/>
          <w:szCs w:val="32"/>
        </w:rPr>
        <w:t>》</w:t>
      </w:r>
      <w:r>
        <w:rPr>
          <w:rFonts w:hint="eastAsia" w:ascii="仿宋" w:hAnsi="仿宋" w:eastAsia="仿宋"/>
          <w:kern w:val="0"/>
          <w:sz w:val="32"/>
          <w:szCs w:val="32"/>
        </w:rPr>
        <w:t>（附</w:t>
      </w:r>
      <w:r>
        <w:rPr>
          <w:rFonts w:ascii="仿宋" w:hAnsi="仿宋" w:eastAsia="仿宋"/>
          <w:kern w:val="0"/>
          <w:sz w:val="32"/>
          <w:szCs w:val="32"/>
        </w:rPr>
        <w:t>7）</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（四）《大宗商品现货清算业务费用缴纳专户申请表》（附</w:t>
      </w:r>
      <w:r>
        <w:rPr>
          <w:rFonts w:ascii="仿宋" w:hAnsi="仿宋" w:eastAsia="仿宋"/>
          <w:kern w:val="0"/>
          <w:sz w:val="32"/>
          <w:szCs w:val="32"/>
        </w:rPr>
        <w:t>8</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（五</w:t>
      </w:r>
      <w:r>
        <w:rPr>
          <w:rFonts w:ascii="仿宋" w:hAnsi="仿宋" w:eastAsia="仿宋"/>
          <w:kern w:val="0"/>
          <w:sz w:val="32"/>
          <w:szCs w:val="32"/>
        </w:rPr>
        <w:t>）</w:t>
      </w:r>
      <w:r>
        <w:rPr>
          <w:rFonts w:hint="eastAsia" w:ascii="仿宋" w:hAnsi="仿宋" w:eastAsia="仿宋"/>
          <w:kern w:val="0"/>
          <w:sz w:val="32"/>
          <w:szCs w:val="32"/>
        </w:rPr>
        <w:t>国家或地方政府、金融基础设施、自律组织出具的资质证明</w:t>
      </w:r>
      <w:r>
        <w:rPr>
          <w:rFonts w:ascii="仿宋" w:hAnsi="仿宋" w:eastAsia="仿宋"/>
          <w:kern w:val="0"/>
          <w:sz w:val="32"/>
          <w:szCs w:val="32"/>
        </w:rPr>
        <w:t>材料</w:t>
      </w:r>
      <w:r>
        <w:rPr>
          <w:rFonts w:hint="eastAsia" w:ascii="仿宋" w:hAnsi="仿宋" w:eastAsia="仿宋"/>
          <w:kern w:val="0"/>
          <w:sz w:val="32"/>
          <w:szCs w:val="32"/>
        </w:rPr>
        <w:t>，包括但不限于经营许可证、质量认证证书和其他证明文件等。</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（六</w:t>
      </w:r>
      <w:r>
        <w:rPr>
          <w:rFonts w:ascii="仿宋" w:hAnsi="仿宋" w:eastAsia="仿宋"/>
          <w:kern w:val="0"/>
          <w:sz w:val="32"/>
          <w:szCs w:val="32"/>
        </w:rPr>
        <w:t>）关于</w:t>
      </w:r>
      <w:r>
        <w:rPr>
          <w:rFonts w:hint="eastAsia" w:ascii="仿宋" w:hAnsi="仿宋" w:eastAsia="仿宋"/>
          <w:kern w:val="0"/>
          <w:sz w:val="32"/>
          <w:szCs w:val="32"/>
        </w:rPr>
        <w:t>大宗商品现货</w:t>
      </w:r>
      <w:r>
        <w:rPr>
          <w:rFonts w:ascii="仿宋" w:hAnsi="仿宋" w:eastAsia="仿宋"/>
          <w:kern w:val="0"/>
          <w:sz w:val="32"/>
          <w:szCs w:val="32"/>
        </w:rPr>
        <w:t>业务</w:t>
      </w:r>
      <w:r>
        <w:rPr>
          <w:rFonts w:hint="eastAsia" w:ascii="仿宋" w:hAnsi="仿宋" w:eastAsia="仿宋"/>
          <w:kern w:val="0"/>
          <w:sz w:val="32"/>
          <w:szCs w:val="32"/>
        </w:rPr>
        <w:t>的相关</w:t>
      </w:r>
      <w:r>
        <w:rPr>
          <w:rFonts w:ascii="仿宋" w:hAnsi="仿宋" w:eastAsia="仿宋"/>
          <w:kern w:val="0"/>
          <w:sz w:val="32"/>
          <w:szCs w:val="32"/>
        </w:rPr>
        <w:t>规则、制度等文件，包括但不限于</w:t>
      </w:r>
      <w:r>
        <w:rPr>
          <w:rFonts w:hint="eastAsia" w:ascii="仿宋" w:hAnsi="仿宋" w:eastAsia="仿宋"/>
          <w:kern w:val="0"/>
          <w:sz w:val="32"/>
          <w:szCs w:val="32"/>
        </w:rPr>
        <w:t>交易规则（仅</w:t>
      </w:r>
      <w:r>
        <w:rPr>
          <w:rFonts w:ascii="仿宋" w:hAnsi="仿宋" w:eastAsia="仿宋"/>
          <w:kern w:val="0"/>
          <w:sz w:val="32"/>
          <w:szCs w:val="32"/>
        </w:rPr>
        <w:t>现货交易平台）</w:t>
      </w:r>
      <w:r>
        <w:rPr>
          <w:rFonts w:hint="eastAsia" w:ascii="仿宋" w:hAnsi="仿宋" w:eastAsia="仿宋"/>
          <w:kern w:val="0"/>
          <w:sz w:val="32"/>
          <w:szCs w:val="32"/>
        </w:rPr>
        <w:t>、商品交收管理制度、指定交收仓库及交易标的管理制度、交易商管理制度、风险</w:t>
      </w:r>
      <w:r>
        <w:rPr>
          <w:rFonts w:ascii="仿宋" w:hAnsi="仿宋" w:eastAsia="仿宋"/>
          <w:kern w:val="0"/>
          <w:sz w:val="32"/>
          <w:szCs w:val="32"/>
        </w:rPr>
        <w:t>管理制度</w:t>
      </w:r>
      <w:r>
        <w:rPr>
          <w:rFonts w:hint="eastAsia" w:ascii="仿宋" w:hAnsi="仿宋" w:eastAsia="仿宋"/>
          <w:kern w:val="0"/>
          <w:sz w:val="32"/>
          <w:szCs w:val="32"/>
        </w:rPr>
        <w:t>和</w:t>
      </w:r>
      <w:r>
        <w:rPr>
          <w:rFonts w:ascii="仿宋" w:hAnsi="仿宋" w:eastAsia="仿宋"/>
          <w:kern w:val="0"/>
          <w:sz w:val="32"/>
          <w:szCs w:val="32"/>
        </w:rPr>
        <w:t>内</w:t>
      </w:r>
      <w:r>
        <w:rPr>
          <w:rFonts w:hint="eastAsia" w:ascii="仿宋" w:hAnsi="仿宋" w:eastAsia="仿宋"/>
          <w:kern w:val="0"/>
          <w:sz w:val="32"/>
          <w:szCs w:val="32"/>
        </w:rPr>
        <w:t>部</w:t>
      </w:r>
      <w:r>
        <w:rPr>
          <w:rFonts w:ascii="仿宋" w:hAnsi="仿宋" w:eastAsia="仿宋"/>
          <w:kern w:val="0"/>
          <w:sz w:val="32"/>
          <w:szCs w:val="32"/>
        </w:rPr>
        <w:t>控</w:t>
      </w:r>
      <w:r>
        <w:rPr>
          <w:rFonts w:hint="eastAsia" w:ascii="仿宋" w:hAnsi="仿宋" w:eastAsia="仿宋"/>
          <w:kern w:val="0"/>
          <w:sz w:val="32"/>
          <w:szCs w:val="32"/>
        </w:rPr>
        <w:t>制</w:t>
      </w:r>
      <w:r>
        <w:rPr>
          <w:rFonts w:ascii="仿宋" w:hAnsi="仿宋" w:eastAsia="仿宋"/>
          <w:kern w:val="0"/>
          <w:sz w:val="32"/>
          <w:szCs w:val="32"/>
        </w:rPr>
        <w:t>机制</w:t>
      </w:r>
      <w:r>
        <w:rPr>
          <w:rFonts w:hint="eastAsia" w:ascii="仿宋" w:hAnsi="仿宋" w:eastAsia="仿宋"/>
          <w:kern w:val="0"/>
          <w:sz w:val="32"/>
          <w:szCs w:val="32"/>
        </w:rPr>
        <w:t>等。</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（七</w:t>
      </w:r>
      <w:r>
        <w:rPr>
          <w:rFonts w:ascii="仿宋" w:hAnsi="仿宋" w:eastAsia="仿宋"/>
          <w:kern w:val="0"/>
          <w:sz w:val="32"/>
          <w:szCs w:val="32"/>
        </w:rPr>
        <w:t>）</w:t>
      </w:r>
      <w:r>
        <w:rPr>
          <w:rFonts w:hint="eastAsia" w:ascii="仿宋" w:hAnsi="仿宋" w:eastAsia="仿宋"/>
          <w:kern w:val="0"/>
          <w:sz w:val="32"/>
          <w:szCs w:val="32"/>
        </w:rPr>
        <w:t>公司高管</w:t>
      </w:r>
      <w:r>
        <w:rPr>
          <w:rFonts w:ascii="仿宋" w:hAnsi="仿宋" w:eastAsia="仿宋"/>
          <w:kern w:val="0"/>
          <w:sz w:val="32"/>
          <w:szCs w:val="32"/>
        </w:rPr>
        <w:t>人员简历</w:t>
      </w:r>
      <w:r>
        <w:rPr>
          <w:rFonts w:hint="eastAsia" w:ascii="仿宋" w:hAnsi="仿宋" w:eastAsia="仿宋"/>
          <w:kern w:val="0"/>
          <w:sz w:val="32"/>
          <w:szCs w:val="32"/>
        </w:rPr>
        <w:t>，包括但</w:t>
      </w:r>
      <w:r>
        <w:rPr>
          <w:rFonts w:ascii="仿宋" w:hAnsi="仿宋" w:eastAsia="仿宋"/>
          <w:kern w:val="0"/>
          <w:sz w:val="32"/>
          <w:szCs w:val="32"/>
        </w:rPr>
        <w:t>不限于董事长、副</w:t>
      </w:r>
      <w:r>
        <w:rPr>
          <w:rFonts w:hint="eastAsia" w:ascii="仿宋" w:hAnsi="仿宋" w:eastAsia="仿宋"/>
          <w:kern w:val="0"/>
          <w:sz w:val="32"/>
          <w:szCs w:val="32"/>
        </w:rPr>
        <w:t>董事长</w:t>
      </w:r>
      <w:r>
        <w:rPr>
          <w:rFonts w:ascii="仿宋" w:hAnsi="仿宋" w:eastAsia="仿宋"/>
          <w:kern w:val="0"/>
          <w:sz w:val="32"/>
          <w:szCs w:val="32"/>
        </w:rPr>
        <w:t>、执行董事、非执行董事、总经理、副</w:t>
      </w:r>
      <w:r>
        <w:rPr>
          <w:rFonts w:hint="eastAsia" w:ascii="仿宋" w:hAnsi="仿宋" w:eastAsia="仿宋"/>
          <w:kern w:val="0"/>
          <w:sz w:val="32"/>
          <w:szCs w:val="32"/>
        </w:rPr>
        <w:t>总</w:t>
      </w:r>
      <w:r>
        <w:rPr>
          <w:rFonts w:ascii="仿宋" w:hAnsi="仿宋" w:eastAsia="仿宋"/>
          <w:kern w:val="0"/>
          <w:sz w:val="32"/>
          <w:szCs w:val="32"/>
        </w:rPr>
        <w:t>经理</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（八</w:t>
      </w:r>
      <w:r>
        <w:rPr>
          <w:rFonts w:ascii="仿宋" w:hAnsi="仿宋" w:eastAsia="仿宋"/>
          <w:kern w:val="0"/>
          <w:sz w:val="32"/>
          <w:szCs w:val="32"/>
        </w:rPr>
        <w:t>）</w:t>
      </w:r>
      <w:r>
        <w:rPr>
          <w:rFonts w:hint="eastAsia" w:ascii="仿宋" w:hAnsi="仿宋" w:eastAsia="仿宋"/>
          <w:kern w:val="0"/>
          <w:sz w:val="32"/>
          <w:szCs w:val="32"/>
        </w:rPr>
        <w:t>公司股权结构、股东名称</w:t>
      </w:r>
      <w:r>
        <w:rPr>
          <w:rFonts w:ascii="仿宋" w:hAnsi="仿宋" w:eastAsia="仿宋"/>
          <w:kern w:val="0"/>
          <w:sz w:val="32"/>
          <w:szCs w:val="32"/>
        </w:rPr>
        <w:t>、</w:t>
      </w:r>
      <w:r>
        <w:rPr>
          <w:rFonts w:hint="eastAsia" w:ascii="仿宋" w:hAnsi="仿宋" w:eastAsia="仿宋"/>
          <w:kern w:val="0"/>
          <w:sz w:val="32"/>
          <w:szCs w:val="32"/>
        </w:rPr>
        <w:t>出资</w:t>
      </w:r>
      <w:r>
        <w:rPr>
          <w:rFonts w:ascii="仿宋" w:hAnsi="仿宋" w:eastAsia="仿宋"/>
          <w:kern w:val="0"/>
          <w:sz w:val="32"/>
          <w:szCs w:val="32"/>
        </w:rPr>
        <w:t>额</w:t>
      </w:r>
      <w:r>
        <w:rPr>
          <w:rFonts w:hint="eastAsia" w:ascii="仿宋" w:hAnsi="仿宋" w:eastAsia="仿宋"/>
          <w:kern w:val="0"/>
          <w:sz w:val="32"/>
          <w:szCs w:val="32"/>
        </w:rPr>
        <w:t>、</w:t>
      </w:r>
      <w:r>
        <w:rPr>
          <w:rFonts w:ascii="仿宋" w:hAnsi="仿宋" w:eastAsia="仿宋"/>
          <w:kern w:val="0"/>
          <w:sz w:val="32"/>
          <w:szCs w:val="32"/>
        </w:rPr>
        <w:t>出资比例</w:t>
      </w:r>
      <w:r>
        <w:rPr>
          <w:rFonts w:hint="eastAsia" w:ascii="仿宋" w:hAnsi="仿宋" w:eastAsia="仿宋"/>
          <w:kern w:val="0"/>
          <w:sz w:val="32"/>
          <w:szCs w:val="32"/>
        </w:rPr>
        <w:t>说明。</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（九</w:t>
      </w:r>
      <w:r>
        <w:rPr>
          <w:rFonts w:ascii="仿宋" w:hAnsi="仿宋" w:eastAsia="仿宋"/>
          <w:kern w:val="0"/>
          <w:sz w:val="32"/>
          <w:szCs w:val="32"/>
        </w:rPr>
        <w:t>）最新经年检的营业执照复印件</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（十</w:t>
      </w:r>
      <w:r>
        <w:rPr>
          <w:rFonts w:ascii="仿宋" w:hAnsi="仿宋" w:eastAsia="仿宋"/>
          <w:kern w:val="0"/>
          <w:sz w:val="32"/>
          <w:szCs w:val="32"/>
        </w:rPr>
        <w:t>）</w:t>
      </w:r>
      <w:r>
        <w:rPr>
          <w:rFonts w:hint="eastAsia" w:ascii="仿宋" w:hAnsi="仿宋" w:eastAsia="仿宋"/>
          <w:kern w:val="0"/>
          <w:sz w:val="32"/>
          <w:szCs w:val="32"/>
        </w:rPr>
        <w:t>上海清算所要求提供的其他文件。</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其中，材料（一）应加盖公司公章并经法定代表人签字，其他材料应加盖公司公章。</w:t>
      </w:r>
    </w:p>
    <w:p>
      <w:pPr>
        <w:pStyle w:val="36"/>
        <w:numPr>
          <w:ilvl w:val="0"/>
          <w:numId w:val="3"/>
        </w:numPr>
        <w:spacing w:line="580" w:lineRule="exact"/>
        <w:jc w:val="both"/>
        <w:rPr>
          <w:rFonts w:hAnsi="仿宋"/>
          <w:sz w:val="32"/>
          <w:szCs w:val="32"/>
        </w:rPr>
      </w:pPr>
      <w:r>
        <w:rPr>
          <w:rFonts w:hint="eastAsia" w:hAnsi="仿宋"/>
          <w:sz w:val="32"/>
          <w:szCs w:val="32"/>
        </w:rPr>
        <w:t>现货平台</w:t>
      </w:r>
      <w:r>
        <w:rPr>
          <w:rFonts w:hAnsi="仿宋"/>
          <w:sz w:val="32"/>
          <w:szCs w:val="32"/>
        </w:rPr>
        <w:t>应及时完成</w:t>
      </w:r>
      <w:r>
        <w:rPr>
          <w:rFonts w:hint="eastAsia" w:hAnsi="仿宋"/>
          <w:sz w:val="32"/>
          <w:szCs w:val="32"/>
        </w:rPr>
        <w:t>本</w:t>
      </w:r>
      <w:r>
        <w:rPr>
          <w:rFonts w:hAnsi="仿宋"/>
          <w:sz w:val="32"/>
          <w:szCs w:val="32"/>
        </w:rPr>
        <w:t>业务开展</w:t>
      </w:r>
      <w:r>
        <w:rPr>
          <w:rFonts w:hint="eastAsia" w:hAnsi="仿宋"/>
          <w:sz w:val="32"/>
          <w:szCs w:val="32"/>
        </w:rPr>
        <w:t>前的</w:t>
      </w:r>
      <w:r>
        <w:rPr>
          <w:rFonts w:hAnsi="仿宋"/>
          <w:sz w:val="32"/>
          <w:szCs w:val="32"/>
        </w:rPr>
        <w:t>准备工作</w:t>
      </w:r>
      <w:r>
        <w:rPr>
          <w:rFonts w:hint="eastAsia" w:hAnsi="仿宋"/>
          <w:sz w:val="32"/>
          <w:szCs w:val="32"/>
        </w:rPr>
        <w:t>，包括</w:t>
      </w:r>
      <w:r>
        <w:rPr>
          <w:rFonts w:hAnsi="仿宋"/>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sz w:val="32"/>
          <w:szCs w:val="32"/>
        </w:rPr>
        <w:t>（一</w:t>
      </w:r>
      <w:r>
        <w:rPr>
          <w:rFonts w:ascii="仿宋" w:hAnsi="仿宋" w:eastAsia="仿宋"/>
          <w:sz w:val="32"/>
          <w:szCs w:val="32"/>
        </w:rPr>
        <w:t>）与上海清算所</w:t>
      </w:r>
      <w:r>
        <w:rPr>
          <w:rFonts w:ascii="仿宋" w:hAnsi="仿宋" w:eastAsia="仿宋"/>
          <w:kern w:val="0"/>
          <w:sz w:val="32"/>
          <w:szCs w:val="32"/>
        </w:rPr>
        <w:t>签订</w:t>
      </w:r>
      <w:r>
        <w:rPr>
          <w:rFonts w:hint="eastAsia" w:ascii="仿宋" w:hAnsi="仿宋" w:eastAsia="仿宋"/>
          <w:kern w:val="0"/>
          <w:sz w:val="32"/>
          <w:szCs w:val="32"/>
        </w:rPr>
        <w:t>协议等相关法律文件。</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（二</w:t>
      </w:r>
      <w:r>
        <w:rPr>
          <w:rFonts w:ascii="仿宋" w:hAnsi="仿宋" w:eastAsia="仿宋"/>
          <w:kern w:val="0"/>
          <w:sz w:val="32"/>
          <w:szCs w:val="32"/>
        </w:rPr>
        <w:t>）</w:t>
      </w:r>
      <w:r>
        <w:rPr>
          <w:rFonts w:hint="eastAsia" w:ascii="仿宋" w:hAnsi="仿宋" w:eastAsia="仿宋"/>
          <w:kern w:val="0"/>
          <w:sz w:val="32"/>
          <w:szCs w:val="32"/>
        </w:rPr>
        <w:t>完成</w:t>
      </w:r>
      <w:r>
        <w:rPr>
          <w:rFonts w:ascii="仿宋" w:hAnsi="仿宋" w:eastAsia="仿宋"/>
          <w:kern w:val="0"/>
          <w:sz w:val="32"/>
          <w:szCs w:val="32"/>
        </w:rPr>
        <w:t>系统</w:t>
      </w:r>
      <w:r>
        <w:rPr>
          <w:rFonts w:hint="eastAsia" w:ascii="仿宋" w:hAnsi="仿宋" w:eastAsia="仿宋"/>
          <w:kern w:val="0"/>
          <w:sz w:val="32"/>
          <w:szCs w:val="32"/>
        </w:rPr>
        <w:t>验收</w:t>
      </w:r>
      <w:r>
        <w:rPr>
          <w:rFonts w:ascii="仿宋" w:hAnsi="仿宋" w:eastAsia="仿宋"/>
          <w:kern w:val="0"/>
          <w:sz w:val="32"/>
          <w:szCs w:val="32"/>
        </w:rPr>
        <w:t>、连接等技术准备工作</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（三</w:t>
      </w:r>
      <w:r>
        <w:rPr>
          <w:rFonts w:ascii="仿宋" w:hAnsi="仿宋" w:eastAsia="仿宋"/>
          <w:kern w:val="0"/>
          <w:sz w:val="32"/>
          <w:szCs w:val="32"/>
        </w:rPr>
        <w:t>）</w:t>
      </w:r>
      <w:r>
        <w:rPr>
          <w:rFonts w:hint="eastAsia" w:ascii="仿宋" w:hAnsi="仿宋" w:eastAsia="仿宋"/>
          <w:kern w:val="0"/>
          <w:sz w:val="32"/>
          <w:szCs w:val="32"/>
        </w:rPr>
        <w:t>根据上海清算所应急</w:t>
      </w:r>
      <w:r>
        <w:rPr>
          <w:rFonts w:ascii="仿宋" w:hAnsi="仿宋" w:eastAsia="仿宋"/>
          <w:kern w:val="0"/>
          <w:sz w:val="32"/>
          <w:szCs w:val="32"/>
        </w:rPr>
        <w:t>安排制定相应的应急制度或措施</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（四</w:t>
      </w:r>
      <w:r>
        <w:rPr>
          <w:rFonts w:ascii="仿宋" w:hAnsi="仿宋" w:eastAsia="仿宋"/>
          <w:kern w:val="0"/>
          <w:sz w:val="32"/>
          <w:szCs w:val="32"/>
        </w:rPr>
        <w:t>）</w:t>
      </w:r>
      <w:r>
        <w:rPr>
          <w:rFonts w:hint="eastAsia" w:ascii="仿宋" w:hAnsi="仿宋" w:eastAsia="仿宋"/>
          <w:kern w:val="0"/>
          <w:sz w:val="32"/>
          <w:szCs w:val="32"/>
        </w:rPr>
        <w:t>上海清算所要求的其他工作。</w:t>
      </w:r>
    </w:p>
    <w:p>
      <w:pPr>
        <w:pStyle w:val="36"/>
        <w:numPr>
          <w:ilvl w:val="0"/>
          <w:numId w:val="3"/>
        </w:numPr>
        <w:spacing w:line="580" w:lineRule="exact"/>
        <w:jc w:val="both"/>
        <w:rPr>
          <w:rFonts w:hAnsi="仿宋"/>
          <w:sz w:val="32"/>
          <w:szCs w:val="32"/>
        </w:rPr>
      </w:pPr>
      <w:r>
        <w:rPr>
          <w:rFonts w:hint="eastAsia" w:hAnsi="仿宋"/>
          <w:sz w:val="32"/>
          <w:szCs w:val="32"/>
        </w:rPr>
        <w:t>现货平台在日常</w:t>
      </w:r>
      <w:r>
        <w:rPr>
          <w:rFonts w:hAnsi="仿宋"/>
          <w:sz w:val="32"/>
          <w:szCs w:val="32"/>
        </w:rPr>
        <w:t>运营中，应严格</w:t>
      </w:r>
      <w:r>
        <w:rPr>
          <w:rFonts w:hint="eastAsia" w:hAnsi="仿宋"/>
          <w:sz w:val="32"/>
          <w:szCs w:val="32"/>
        </w:rPr>
        <w:t>按照第</w:t>
      </w:r>
      <w:r>
        <w:rPr>
          <w:rFonts w:hAnsi="仿宋"/>
          <w:sz w:val="32"/>
          <w:szCs w:val="32"/>
        </w:rPr>
        <w:t>二十</w:t>
      </w:r>
      <w:r>
        <w:rPr>
          <w:rFonts w:hint="eastAsia" w:hAnsi="仿宋"/>
          <w:sz w:val="32"/>
          <w:szCs w:val="32"/>
        </w:rPr>
        <w:t>六</w:t>
      </w:r>
      <w:r>
        <w:rPr>
          <w:rFonts w:hAnsi="仿宋"/>
          <w:sz w:val="32"/>
          <w:szCs w:val="32"/>
        </w:rPr>
        <w:t>条第</w:t>
      </w:r>
      <w:r>
        <w:rPr>
          <w:rFonts w:hint="eastAsia" w:hAnsi="仿宋"/>
          <w:sz w:val="32"/>
          <w:szCs w:val="32"/>
        </w:rPr>
        <w:t>六</w:t>
      </w:r>
      <w:r>
        <w:rPr>
          <w:rFonts w:hAnsi="仿宋"/>
          <w:sz w:val="32"/>
          <w:szCs w:val="32"/>
        </w:rPr>
        <w:t>款</w:t>
      </w:r>
      <w:r>
        <w:rPr>
          <w:rFonts w:hint="eastAsia" w:hAnsi="仿宋"/>
          <w:sz w:val="32"/>
          <w:szCs w:val="32"/>
        </w:rPr>
        <w:t>所述的</w:t>
      </w:r>
      <w:r>
        <w:rPr>
          <w:rFonts w:hAnsi="仿宋"/>
          <w:sz w:val="32"/>
          <w:szCs w:val="32"/>
        </w:rPr>
        <w:t>大宗商品现货业务相关规则、制度等文件</w:t>
      </w:r>
      <w:r>
        <w:rPr>
          <w:rFonts w:hint="eastAsia" w:hAnsi="仿宋"/>
          <w:sz w:val="32"/>
          <w:szCs w:val="32"/>
        </w:rPr>
        <w:t>进行</w:t>
      </w:r>
      <w:r>
        <w:rPr>
          <w:rFonts w:hAnsi="仿宋"/>
          <w:sz w:val="32"/>
          <w:szCs w:val="32"/>
        </w:rPr>
        <w:t>管理。</w:t>
      </w:r>
    </w:p>
    <w:p>
      <w:pPr>
        <w:pStyle w:val="36"/>
        <w:numPr>
          <w:ilvl w:val="0"/>
          <w:numId w:val="3"/>
        </w:numPr>
        <w:spacing w:line="580" w:lineRule="exact"/>
        <w:jc w:val="both"/>
        <w:rPr>
          <w:rFonts w:hAnsi="仿宋"/>
          <w:sz w:val="32"/>
          <w:szCs w:val="32"/>
        </w:rPr>
      </w:pPr>
      <w:r>
        <w:rPr>
          <w:rFonts w:hint="eastAsia" w:hAnsi="仿宋"/>
          <w:sz w:val="32"/>
          <w:szCs w:val="32"/>
        </w:rPr>
        <w:t>现货平台为交易商提供大宗商品现货相关交易交收服务</w:t>
      </w:r>
      <w:r>
        <w:rPr>
          <w:rFonts w:hAnsi="仿宋"/>
          <w:sz w:val="32"/>
          <w:szCs w:val="32"/>
        </w:rPr>
        <w:t>前，</w:t>
      </w:r>
      <w:r>
        <w:rPr>
          <w:rFonts w:hint="eastAsia" w:hAnsi="仿宋"/>
          <w:sz w:val="32"/>
          <w:szCs w:val="32"/>
        </w:rPr>
        <w:t>应与其签订协议，明确双方权利和义务。前述协议应遵循上海清算所相关规定并在上海清算所备案，如发生变更且影响上海清算所权益的，需在变更后的十个工作日内</w:t>
      </w:r>
      <w:r>
        <w:rPr>
          <w:rFonts w:hAnsi="仿宋"/>
          <w:sz w:val="32"/>
          <w:szCs w:val="32"/>
        </w:rPr>
        <w:t>向上海清算所</w:t>
      </w:r>
      <w:r>
        <w:rPr>
          <w:rFonts w:hint="eastAsia" w:hAnsi="仿宋"/>
          <w:sz w:val="32"/>
          <w:szCs w:val="32"/>
        </w:rPr>
        <w:t>重新备案。</w:t>
      </w:r>
    </w:p>
    <w:p>
      <w:pPr>
        <w:numPr>
          <w:ilvl w:val="0"/>
          <w:numId w:val="3"/>
        </w:numPr>
        <w:spacing w:line="580" w:lineRule="exact"/>
        <w:rPr>
          <w:rFonts w:ascii="仿宋" w:hAnsi="仿宋" w:eastAsia="仿宋"/>
          <w:kern w:val="0"/>
          <w:sz w:val="32"/>
          <w:szCs w:val="32"/>
        </w:rPr>
      </w:pPr>
      <w:r>
        <w:rPr>
          <w:rFonts w:hint="eastAsia" w:ascii="仿宋" w:hAnsi="仿宋" w:eastAsia="仿宋"/>
          <w:kern w:val="0"/>
          <w:sz w:val="32"/>
          <w:szCs w:val="32"/>
        </w:rPr>
        <w:t>现货平台为其交易商申请交易商编码，应向上海清算所提交加盖交易商公章，现货平台公章或预留印鉴章的《大宗商品现货清算业务交易商编码申请表》、加盖交易商公章的经有权机关核发的注册成立文件复印件等。</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上海清算所根据现货平台提交的材料，为交易商设立交易商编码，并反馈现货平台及相关现货清算成员。</w:t>
      </w:r>
    </w:p>
    <w:p>
      <w:pPr>
        <w:numPr>
          <w:ilvl w:val="0"/>
          <w:numId w:val="3"/>
        </w:numPr>
        <w:spacing w:line="580" w:lineRule="exact"/>
        <w:rPr>
          <w:rFonts w:ascii="仿宋" w:hAnsi="仿宋" w:eastAsia="仿宋"/>
          <w:kern w:val="0"/>
          <w:sz w:val="32"/>
          <w:szCs w:val="32"/>
        </w:rPr>
      </w:pPr>
      <w:r>
        <w:rPr>
          <w:rFonts w:hint="eastAsia" w:ascii="仿宋" w:hAnsi="仿宋" w:eastAsia="仿宋"/>
          <w:sz w:val="32"/>
          <w:szCs w:val="32"/>
        </w:rPr>
        <w:t>现货平台应实时将交易相关数据发送至上海清算所。交易相关数据应符合上海清算所的要素规定，包括但不限于业务参与者信息、交易标的信息、清算产品信息、成交量、成交金额、资金冻结金额、资金解冻金额等。</w:t>
      </w:r>
    </w:p>
    <w:p>
      <w:pPr>
        <w:numPr>
          <w:ilvl w:val="0"/>
          <w:numId w:val="3"/>
        </w:numPr>
        <w:spacing w:line="580" w:lineRule="exact"/>
        <w:rPr>
          <w:rFonts w:ascii="仿宋" w:hAnsi="仿宋" w:eastAsia="仿宋"/>
          <w:kern w:val="0"/>
          <w:sz w:val="32"/>
          <w:szCs w:val="32"/>
        </w:rPr>
      </w:pPr>
      <w:r>
        <w:rPr>
          <w:rFonts w:hint="eastAsia" w:ascii="仿宋" w:hAnsi="仿宋" w:eastAsia="仿宋"/>
          <w:kern w:val="0"/>
          <w:sz w:val="32"/>
          <w:szCs w:val="32"/>
        </w:rPr>
        <w:t>现货平台应对其发送至上海清算所的交易相关数据的真实性、有效性、完整性负责。现货平台发送的交易相关数据与实际不符的，由此</w:t>
      </w:r>
      <w:r>
        <w:rPr>
          <w:rFonts w:ascii="仿宋" w:hAnsi="仿宋" w:eastAsia="仿宋"/>
          <w:kern w:val="0"/>
          <w:sz w:val="32"/>
          <w:szCs w:val="32"/>
        </w:rPr>
        <w:t>造成的损失</w:t>
      </w:r>
      <w:r>
        <w:rPr>
          <w:rFonts w:hint="eastAsia" w:ascii="仿宋" w:hAnsi="仿宋" w:eastAsia="仿宋"/>
          <w:kern w:val="0"/>
          <w:sz w:val="32"/>
          <w:szCs w:val="32"/>
        </w:rPr>
        <w:t>由现货平台承担责任。</w:t>
      </w:r>
    </w:p>
    <w:p>
      <w:pPr>
        <w:numPr>
          <w:ilvl w:val="0"/>
          <w:numId w:val="3"/>
        </w:numPr>
        <w:spacing w:line="580" w:lineRule="exact"/>
        <w:rPr>
          <w:rFonts w:ascii="仿宋" w:hAnsi="仿宋" w:eastAsia="仿宋"/>
          <w:kern w:val="0"/>
          <w:sz w:val="32"/>
          <w:szCs w:val="32"/>
        </w:rPr>
      </w:pPr>
      <w:r>
        <w:rPr>
          <w:rFonts w:hint="eastAsia" w:ascii="仿宋" w:hAnsi="仿宋" w:eastAsia="仿宋"/>
          <w:kern w:val="0"/>
          <w:sz w:val="32"/>
          <w:szCs w:val="32"/>
        </w:rPr>
        <w:t>现货平台负责对指定交收仓库的认定和监督，并</w:t>
      </w:r>
      <w:r>
        <w:rPr>
          <w:rFonts w:ascii="仿宋" w:hAnsi="仿宋" w:eastAsia="仿宋"/>
          <w:kern w:val="0"/>
          <w:sz w:val="32"/>
          <w:szCs w:val="32"/>
        </w:rPr>
        <w:t>确保</w:t>
      </w:r>
      <w:r>
        <w:rPr>
          <w:rFonts w:hint="eastAsia" w:ascii="仿宋" w:hAnsi="仿宋" w:eastAsia="仿宋"/>
          <w:kern w:val="0"/>
          <w:sz w:val="32"/>
          <w:szCs w:val="32"/>
        </w:rPr>
        <w:t>交易标的的真实性和唯一性。指定交收仓库应履行商品保管的职责并确保存货凭证的真实性和唯一性。交易标的</w:t>
      </w:r>
      <w:r>
        <w:rPr>
          <w:rFonts w:ascii="仿宋" w:hAnsi="仿宋" w:eastAsia="仿宋"/>
          <w:kern w:val="0"/>
          <w:sz w:val="32"/>
          <w:szCs w:val="32"/>
        </w:rPr>
        <w:t>的真实性和唯一性有瑕疵</w:t>
      </w:r>
      <w:r>
        <w:rPr>
          <w:rFonts w:hint="eastAsia" w:ascii="仿宋" w:hAnsi="仿宋" w:eastAsia="仿宋"/>
          <w:kern w:val="0"/>
          <w:sz w:val="32"/>
          <w:szCs w:val="32"/>
        </w:rPr>
        <w:t>并</w:t>
      </w:r>
      <w:r>
        <w:rPr>
          <w:rFonts w:ascii="仿宋" w:hAnsi="仿宋" w:eastAsia="仿宋"/>
          <w:kern w:val="0"/>
          <w:sz w:val="32"/>
          <w:szCs w:val="32"/>
        </w:rPr>
        <w:t>导致交易标的过户失败的，上海清算所不承担任何责任。</w:t>
      </w:r>
    </w:p>
    <w:p>
      <w:pPr>
        <w:numPr>
          <w:ilvl w:val="0"/>
          <w:numId w:val="3"/>
        </w:numPr>
        <w:tabs>
          <w:tab w:val="left" w:pos="0"/>
        </w:tabs>
        <w:spacing w:line="580" w:lineRule="exact"/>
        <w:rPr>
          <w:rFonts w:ascii="仿宋" w:hAnsi="仿宋" w:eastAsia="仿宋"/>
          <w:kern w:val="0"/>
          <w:sz w:val="32"/>
          <w:szCs w:val="32"/>
        </w:rPr>
      </w:pPr>
      <w:r>
        <w:rPr>
          <w:rFonts w:hint="eastAsia" w:ascii="仿宋" w:hAnsi="仿宋" w:eastAsia="仿宋"/>
          <w:kern w:val="0"/>
          <w:sz w:val="32"/>
          <w:szCs w:val="32"/>
        </w:rPr>
        <w:t>现货平台遇下列</w:t>
      </w:r>
      <w:r>
        <w:rPr>
          <w:rFonts w:hint="eastAsia" w:ascii="仿宋" w:hAnsi="仿宋" w:eastAsia="仿宋"/>
          <w:sz w:val="32"/>
          <w:szCs w:val="32"/>
        </w:rPr>
        <w:t>情况之一的</w:t>
      </w:r>
      <w:r>
        <w:rPr>
          <w:rFonts w:hint="eastAsia" w:ascii="仿宋" w:hAnsi="仿宋" w:eastAsia="仿宋"/>
          <w:kern w:val="0"/>
          <w:sz w:val="32"/>
          <w:szCs w:val="32"/>
        </w:rPr>
        <w:t>，在相关事项发生后及时向上海清算所提供书面报告：</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企业名称、法定代表人、</w:t>
      </w:r>
      <w:r>
        <w:rPr>
          <w:rFonts w:ascii="仿宋" w:hAnsi="仿宋" w:eastAsia="仿宋"/>
          <w:sz w:val="32"/>
          <w:szCs w:val="32"/>
        </w:rPr>
        <w:t>股东、高管人员</w:t>
      </w:r>
      <w:r>
        <w:rPr>
          <w:rFonts w:hint="eastAsia" w:ascii="仿宋" w:hAnsi="仿宋" w:eastAsia="仿宋"/>
          <w:sz w:val="32"/>
          <w:szCs w:val="32"/>
        </w:rPr>
        <w:t>、业务负责人变更。</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（二</w:t>
      </w:r>
      <w:r>
        <w:rPr>
          <w:rFonts w:ascii="仿宋" w:hAnsi="仿宋" w:eastAsia="仿宋"/>
          <w:kern w:val="0"/>
          <w:sz w:val="32"/>
          <w:szCs w:val="32"/>
        </w:rPr>
        <w:t>）</w:t>
      </w:r>
      <w:r>
        <w:rPr>
          <w:rFonts w:hint="eastAsia" w:ascii="仿宋" w:hAnsi="仿宋" w:eastAsia="仿宋"/>
          <w:kern w:val="0"/>
          <w:sz w:val="32"/>
          <w:szCs w:val="32"/>
        </w:rPr>
        <w:t>企业注册地址及营业场所变动。</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（三</w:t>
      </w:r>
      <w:r>
        <w:rPr>
          <w:rFonts w:ascii="仿宋" w:hAnsi="仿宋" w:eastAsia="仿宋"/>
          <w:kern w:val="0"/>
          <w:sz w:val="32"/>
          <w:szCs w:val="32"/>
        </w:rPr>
        <w:t>）</w:t>
      </w:r>
      <w:r>
        <w:rPr>
          <w:rFonts w:hint="eastAsia" w:ascii="仿宋" w:hAnsi="仿宋" w:eastAsia="仿宋"/>
          <w:kern w:val="0"/>
          <w:sz w:val="32"/>
          <w:szCs w:val="32"/>
        </w:rPr>
        <w:t>企业经营范围变化。</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（四</w:t>
      </w:r>
      <w:r>
        <w:rPr>
          <w:rFonts w:ascii="仿宋" w:hAnsi="仿宋" w:eastAsia="仿宋"/>
          <w:kern w:val="0"/>
          <w:sz w:val="32"/>
          <w:szCs w:val="32"/>
        </w:rPr>
        <w:t>）</w:t>
      </w:r>
      <w:r>
        <w:rPr>
          <w:rFonts w:hint="eastAsia" w:ascii="仿宋" w:hAnsi="仿宋" w:eastAsia="仿宋"/>
          <w:kern w:val="0"/>
          <w:sz w:val="32"/>
          <w:szCs w:val="32"/>
        </w:rPr>
        <w:t>经营状况发生重大变化。</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（五</w:t>
      </w:r>
      <w:r>
        <w:rPr>
          <w:rFonts w:ascii="仿宋" w:hAnsi="仿宋" w:eastAsia="仿宋"/>
          <w:kern w:val="0"/>
          <w:sz w:val="32"/>
          <w:szCs w:val="32"/>
        </w:rPr>
        <w:t>）</w:t>
      </w:r>
      <w:r>
        <w:rPr>
          <w:rFonts w:hint="eastAsia" w:ascii="仿宋" w:hAnsi="仿宋" w:eastAsia="仿宋"/>
          <w:kern w:val="0"/>
          <w:sz w:val="32"/>
          <w:szCs w:val="32"/>
        </w:rPr>
        <w:t>发生与大宗商品现货</w:t>
      </w:r>
      <w:r>
        <w:rPr>
          <w:rFonts w:ascii="仿宋" w:hAnsi="仿宋" w:eastAsia="仿宋"/>
          <w:kern w:val="0"/>
          <w:sz w:val="32"/>
          <w:szCs w:val="32"/>
        </w:rPr>
        <w:t>业务相关</w:t>
      </w:r>
      <w:r>
        <w:rPr>
          <w:rFonts w:hint="eastAsia" w:ascii="仿宋" w:hAnsi="仿宋" w:eastAsia="仿宋"/>
          <w:kern w:val="0"/>
          <w:sz w:val="32"/>
          <w:szCs w:val="32"/>
        </w:rPr>
        <w:t>或</w:t>
      </w:r>
      <w:r>
        <w:rPr>
          <w:rFonts w:ascii="仿宋" w:hAnsi="仿宋" w:eastAsia="仿宋"/>
          <w:kern w:val="0"/>
          <w:sz w:val="32"/>
          <w:szCs w:val="32"/>
        </w:rPr>
        <w:t>影响业务发展的</w:t>
      </w:r>
      <w:r>
        <w:rPr>
          <w:rFonts w:hint="eastAsia" w:ascii="仿宋" w:hAnsi="仿宋" w:eastAsia="仿宋"/>
          <w:kern w:val="0"/>
          <w:sz w:val="32"/>
          <w:szCs w:val="32"/>
        </w:rPr>
        <w:t>诉讼案件或经济纠纷。</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（六</w:t>
      </w:r>
      <w:r>
        <w:rPr>
          <w:rFonts w:ascii="仿宋" w:hAnsi="仿宋" w:eastAsia="仿宋"/>
          <w:kern w:val="0"/>
          <w:sz w:val="32"/>
          <w:szCs w:val="32"/>
        </w:rPr>
        <w:t>）</w:t>
      </w:r>
      <w:r>
        <w:rPr>
          <w:rFonts w:hint="eastAsia" w:ascii="仿宋" w:hAnsi="仿宋" w:eastAsia="仿宋"/>
          <w:kern w:val="0"/>
          <w:sz w:val="32"/>
          <w:szCs w:val="32"/>
        </w:rPr>
        <w:t>因违法、违规受到司法机关、行政执法部门、管理部门处罚。</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（七</w:t>
      </w:r>
      <w:r>
        <w:rPr>
          <w:rFonts w:ascii="仿宋" w:hAnsi="仿宋" w:eastAsia="仿宋"/>
          <w:kern w:val="0"/>
          <w:sz w:val="32"/>
          <w:szCs w:val="32"/>
        </w:rPr>
        <w:t>）</w:t>
      </w:r>
      <w:r>
        <w:rPr>
          <w:rFonts w:hint="eastAsia" w:ascii="仿宋" w:hAnsi="仿宋" w:eastAsia="仿宋"/>
          <w:kern w:val="0"/>
          <w:sz w:val="32"/>
          <w:szCs w:val="32"/>
        </w:rPr>
        <w:t>上海清算所规定的其他事项</w:t>
      </w:r>
      <w:r>
        <w:rPr>
          <w:rFonts w:ascii="仿宋" w:hAnsi="仿宋" w:eastAsia="仿宋"/>
          <w:kern w:val="0"/>
          <w:sz w:val="32"/>
          <w:szCs w:val="32"/>
        </w:rPr>
        <w:t>。</w:t>
      </w:r>
    </w:p>
    <w:p>
      <w:pPr>
        <w:numPr>
          <w:ilvl w:val="0"/>
          <w:numId w:val="3"/>
        </w:numPr>
        <w:tabs>
          <w:tab w:val="left" w:pos="0"/>
        </w:tabs>
        <w:spacing w:line="580" w:lineRule="exact"/>
        <w:rPr>
          <w:rFonts w:ascii="仿宋" w:hAnsi="仿宋" w:eastAsia="仿宋"/>
          <w:kern w:val="0"/>
          <w:sz w:val="32"/>
          <w:szCs w:val="32"/>
        </w:rPr>
      </w:pPr>
      <w:r>
        <w:rPr>
          <w:rFonts w:hint="eastAsia" w:ascii="仿宋" w:hAnsi="仿宋" w:eastAsia="仿宋"/>
          <w:kern w:val="0"/>
          <w:sz w:val="32"/>
          <w:szCs w:val="32"/>
        </w:rPr>
        <w:t>现货平台的</w:t>
      </w:r>
      <w:r>
        <w:rPr>
          <w:rFonts w:ascii="仿宋" w:hAnsi="仿宋" w:eastAsia="仿宋"/>
          <w:kern w:val="0"/>
          <w:sz w:val="32"/>
          <w:szCs w:val="32"/>
        </w:rPr>
        <w:t>名称</w:t>
      </w:r>
      <w:r>
        <w:rPr>
          <w:rFonts w:hint="eastAsia" w:ascii="仿宋" w:hAnsi="仿宋" w:eastAsia="仿宋"/>
          <w:kern w:val="0"/>
          <w:sz w:val="32"/>
          <w:szCs w:val="32"/>
        </w:rPr>
        <w:t>、</w:t>
      </w:r>
      <w:r>
        <w:rPr>
          <w:rFonts w:ascii="仿宋" w:hAnsi="仿宋" w:eastAsia="仿宋"/>
          <w:kern w:val="0"/>
          <w:sz w:val="32"/>
          <w:szCs w:val="32"/>
        </w:rPr>
        <w:t>注册地址等重要信息发生变更，</w:t>
      </w:r>
      <w:r>
        <w:rPr>
          <w:rFonts w:hint="eastAsia" w:ascii="仿宋" w:hAnsi="仿宋" w:eastAsia="仿宋"/>
          <w:kern w:val="0"/>
          <w:sz w:val="32"/>
          <w:szCs w:val="32"/>
        </w:rPr>
        <w:t>仍承继本业务资格的，需在信息</w:t>
      </w:r>
      <w:r>
        <w:rPr>
          <w:rFonts w:ascii="仿宋" w:hAnsi="仿宋" w:eastAsia="仿宋"/>
          <w:kern w:val="0"/>
          <w:sz w:val="32"/>
          <w:szCs w:val="32"/>
        </w:rPr>
        <w:t>变更后的十个工作日内向上海清算所</w:t>
      </w:r>
      <w:r>
        <w:rPr>
          <w:rFonts w:hint="eastAsia" w:ascii="仿宋" w:hAnsi="仿宋" w:eastAsia="仿宋"/>
          <w:kern w:val="0"/>
          <w:sz w:val="32"/>
          <w:szCs w:val="32"/>
        </w:rPr>
        <w:t>进行报备，提交《大宗商品现货清算业务机构信息变更报备单》及相关资料。</w:t>
      </w:r>
    </w:p>
    <w:p>
      <w:pPr>
        <w:numPr>
          <w:ilvl w:val="0"/>
          <w:numId w:val="3"/>
        </w:numPr>
        <w:tabs>
          <w:tab w:val="left" w:pos="0"/>
        </w:tabs>
        <w:spacing w:line="580" w:lineRule="exact"/>
        <w:rPr>
          <w:rFonts w:ascii="仿宋" w:hAnsi="仿宋" w:eastAsia="仿宋"/>
          <w:sz w:val="32"/>
          <w:szCs w:val="32"/>
        </w:rPr>
      </w:pPr>
      <w:r>
        <w:rPr>
          <w:rFonts w:hint="eastAsia" w:ascii="仿宋" w:hAnsi="仿宋" w:eastAsia="仿宋"/>
          <w:kern w:val="0"/>
          <w:sz w:val="32"/>
          <w:szCs w:val="32"/>
        </w:rPr>
        <w:t>现货平台</w:t>
      </w:r>
      <w:r>
        <w:rPr>
          <w:rFonts w:ascii="仿宋" w:hAnsi="仿宋" w:eastAsia="仿宋"/>
          <w:kern w:val="0"/>
          <w:sz w:val="32"/>
          <w:szCs w:val="32"/>
        </w:rPr>
        <w:t>出现</w:t>
      </w:r>
      <w:r>
        <w:rPr>
          <w:rFonts w:hint="eastAsia" w:ascii="仿宋" w:hAnsi="仿宋" w:eastAsia="仿宋"/>
          <w:kern w:val="0"/>
          <w:sz w:val="32"/>
          <w:szCs w:val="32"/>
        </w:rPr>
        <w:t>机构改制、重组、合并、分立等情形时，上海</w:t>
      </w:r>
      <w:r>
        <w:rPr>
          <w:rFonts w:ascii="仿宋" w:hAnsi="仿宋" w:eastAsia="仿宋"/>
          <w:kern w:val="0"/>
          <w:sz w:val="32"/>
          <w:szCs w:val="32"/>
        </w:rPr>
        <w:t>清算所将重新</w:t>
      </w:r>
      <w:r>
        <w:rPr>
          <w:rFonts w:hint="eastAsia" w:ascii="仿宋" w:hAnsi="仿宋" w:eastAsia="仿宋"/>
          <w:kern w:val="0"/>
          <w:sz w:val="32"/>
          <w:szCs w:val="32"/>
        </w:rPr>
        <w:t>评估并确定</w:t>
      </w:r>
      <w:r>
        <w:rPr>
          <w:rFonts w:ascii="仿宋" w:hAnsi="仿宋" w:eastAsia="仿宋"/>
          <w:kern w:val="0"/>
          <w:sz w:val="32"/>
          <w:szCs w:val="32"/>
        </w:rPr>
        <w:t>是否向其继续提供</w:t>
      </w:r>
      <w:r>
        <w:rPr>
          <w:rFonts w:hint="eastAsia" w:ascii="仿宋" w:hAnsi="仿宋" w:eastAsia="仿宋"/>
          <w:kern w:val="0"/>
          <w:sz w:val="32"/>
          <w:szCs w:val="32"/>
        </w:rPr>
        <w:t>本</w:t>
      </w:r>
      <w:r>
        <w:rPr>
          <w:rFonts w:ascii="仿宋" w:hAnsi="仿宋" w:eastAsia="仿宋"/>
          <w:kern w:val="0"/>
          <w:sz w:val="32"/>
          <w:szCs w:val="32"/>
        </w:rPr>
        <w:t>业务相关服务。</w:t>
      </w:r>
    </w:p>
    <w:p>
      <w:pPr>
        <w:numPr>
          <w:ilvl w:val="0"/>
          <w:numId w:val="3"/>
        </w:numPr>
        <w:tabs>
          <w:tab w:val="left" w:pos="0"/>
        </w:tabs>
        <w:spacing w:line="580" w:lineRule="exact"/>
        <w:rPr>
          <w:rFonts w:ascii="仿宋" w:hAnsi="仿宋" w:eastAsia="仿宋"/>
          <w:sz w:val="32"/>
          <w:szCs w:val="32"/>
        </w:rPr>
      </w:pPr>
      <w:r>
        <w:rPr>
          <w:rFonts w:hint="eastAsia" w:ascii="仿宋" w:hAnsi="仿宋" w:eastAsia="仿宋"/>
          <w:kern w:val="0"/>
          <w:sz w:val="32"/>
          <w:szCs w:val="32"/>
        </w:rPr>
        <w:t>上海清算所</w:t>
      </w:r>
      <w:r>
        <w:rPr>
          <w:rFonts w:ascii="仿宋" w:hAnsi="仿宋" w:eastAsia="仿宋"/>
          <w:kern w:val="0"/>
          <w:sz w:val="32"/>
          <w:szCs w:val="32"/>
        </w:rPr>
        <w:t>于每年一季度对现货平台上一年度运行情况进行评估</w:t>
      </w:r>
      <w:r>
        <w:rPr>
          <w:rFonts w:hint="eastAsia" w:ascii="仿宋" w:hAnsi="仿宋" w:eastAsia="仿宋"/>
          <w:kern w:val="0"/>
          <w:sz w:val="32"/>
          <w:szCs w:val="32"/>
        </w:rPr>
        <w:t>，并</w:t>
      </w:r>
      <w:r>
        <w:rPr>
          <w:rFonts w:ascii="仿宋" w:hAnsi="仿宋" w:eastAsia="仿宋"/>
          <w:kern w:val="0"/>
          <w:sz w:val="32"/>
          <w:szCs w:val="32"/>
        </w:rPr>
        <w:t>根据评估结果确定是否向</w:t>
      </w:r>
      <w:r>
        <w:rPr>
          <w:rFonts w:hint="eastAsia" w:ascii="仿宋" w:hAnsi="仿宋" w:eastAsia="仿宋"/>
          <w:kern w:val="0"/>
          <w:sz w:val="32"/>
          <w:szCs w:val="32"/>
        </w:rPr>
        <w:t>现货</w:t>
      </w:r>
      <w:r>
        <w:rPr>
          <w:rFonts w:ascii="仿宋" w:hAnsi="仿宋" w:eastAsia="仿宋"/>
          <w:kern w:val="0"/>
          <w:sz w:val="32"/>
          <w:szCs w:val="32"/>
        </w:rPr>
        <w:t>平台继续提供本业务相关服务</w:t>
      </w:r>
      <w:r>
        <w:rPr>
          <w:rFonts w:hint="eastAsia" w:ascii="仿宋" w:hAnsi="仿宋" w:eastAsia="仿宋"/>
          <w:kern w:val="0"/>
          <w:sz w:val="32"/>
          <w:szCs w:val="32"/>
        </w:rPr>
        <w:t>。</w:t>
      </w:r>
    </w:p>
    <w:p>
      <w:pPr>
        <w:numPr>
          <w:ilvl w:val="0"/>
          <w:numId w:val="3"/>
        </w:numPr>
        <w:tabs>
          <w:tab w:val="left" w:pos="0"/>
        </w:tabs>
        <w:spacing w:line="580" w:lineRule="exact"/>
        <w:rPr>
          <w:rFonts w:ascii="仿宋" w:hAnsi="仿宋" w:eastAsia="仿宋"/>
          <w:kern w:val="0"/>
          <w:sz w:val="32"/>
          <w:szCs w:val="32"/>
        </w:rPr>
      </w:pPr>
      <w:r>
        <w:rPr>
          <w:rFonts w:hint="eastAsia" w:ascii="仿宋" w:hAnsi="仿宋" w:eastAsia="仿宋"/>
          <w:kern w:val="0"/>
          <w:sz w:val="32"/>
          <w:szCs w:val="32"/>
        </w:rPr>
        <w:t>现货平台存在下列情况之一的，上海清算所有权终止向其提供本业务相关服务</w:t>
      </w:r>
      <w:r>
        <w:rPr>
          <w:rFonts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违反相关监管部门规定。</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（二</w:t>
      </w:r>
      <w:r>
        <w:rPr>
          <w:rFonts w:ascii="仿宋" w:hAnsi="仿宋" w:eastAsia="仿宋"/>
          <w:kern w:val="0"/>
          <w:sz w:val="32"/>
          <w:szCs w:val="32"/>
        </w:rPr>
        <w:t>）</w:t>
      </w:r>
      <w:r>
        <w:rPr>
          <w:rFonts w:hint="eastAsia" w:ascii="仿宋" w:hAnsi="仿宋" w:eastAsia="仿宋"/>
          <w:kern w:val="0"/>
          <w:sz w:val="32"/>
          <w:szCs w:val="32"/>
        </w:rPr>
        <w:t>人员或设备严重不足、管理混乱，经整顿无效。</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（三</w:t>
      </w:r>
      <w:r>
        <w:rPr>
          <w:rFonts w:ascii="仿宋" w:hAnsi="仿宋" w:eastAsia="仿宋"/>
          <w:kern w:val="0"/>
          <w:sz w:val="32"/>
          <w:szCs w:val="32"/>
        </w:rPr>
        <w:t>）</w:t>
      </w:r>
      <w:r>
        <w:rPr>
          <w:rFonts w:hint="eastAsia" w:ascii="仿宋" w:hAnsi="仿宋" w:eastAsia="仿宋"/>
          <w:kern w:val="0"/>
          <w:sz w:val="32"/>
          <w:szCs w:val="32"/>
        </w:rPr>
        <w:t>未将交易商交易相关数据及时、准确发送至上海</w:t>
      </w:r>
      <w:r>
        <w:rPr>
          <w:rFonts w:ascii="仿宋" w:hAnsi="仿宋" w:eastAsia="仿宋"/>
          <w:kern w:val="0"/>
          <w:sz w:val="32"/>
          <w:szCs w:val="32"/>
        </w:rPr>
        <w:t>清算所</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（四</w:t>
      </w:r>
      <w:r>
        <w:rPr>
          <w:rFonts w:ascii="仿宋" w:hAnsi="仿宋" w:eastAsia="仿宋"/>
          <w:kern w:val="0"/>
          <w:sz w:val="32"/>
          <w:szCs w:val="32"/>
        </w:rPr>
        <w:t>）</w:t>
      </w:r>
      <w:r>
        <w:rPr>
          <w:rFonts w:hint="eastAsia" w:ascii="仿宋" w:hAnsi="仿宋" w:eastAsia="仿宋"/>
          <w:kern w:val="0"/>
          <w:sz w:val="32"/>
          <w:szCs w:val="32"/>
        </w:rPr>
        <w:t>违反上海清算所相关规定及</w:t>
      </w:r>
      <w:r>
        <w:rPr>
          <w:rFonts w:ascii="仿宋" w:hAnsi="仿宋" w:eastAsia="仿宋"/>
          <w:kern w:val="0"/>
          <w:sz w:val="32"/>
          <w:szCs w:val="32"/>
        </w:rPr>
        <w:t>协议</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（五</w:t>
      </w:r>
      <w:r>
        <w:rPr>
          <w:rFonts w:ascii="仿宋" w:hAnsi="仿宋" w:eastAsia="仿宋"/>
          <w:kern w:val="0"/>
          <w:sz w:val="32"/>
          <w:szCs w:val="32"/>
        </w:rPr>
        <w:t>）</w:t>
      </w:r>
      <w:r>
        <w:rPr>
          <w:rFonts w:hint="eastAsia" w:ascii="仿宋" w:hAnsi="仿宋" w:eastAsia="仿宋"/>
          <w:kern w:val="0"/>
          <w:sz w:val="32"/>
          <w:szCs w:val="32"/>
        </w:rPr>
        <w:t>上海清算所认定的其他情况。</w:t>
      </w:r>
    </w:p>
    <w:p>
      <w:pPr>
        <w:numPr>
          <w:ilvl w:val="0"/>
          <w:numId w:val="3"/>
        </w:numPr>
        <w:tabs>
          <w:tab w:val="left" w:pos="0"/>
        </w:tabs>
        <w:spacing w:line="580" w:lineRule="exact"/>
        <w:rPr>
          <w:rFonts w:ascii="仿宋" w:hAnsi="仿宋" w:eastAsia="仿宋"/>
          <w:kern w:val="0"/>
          <w:sz w:val="32"/>
          <w:szCs w:val="32"/>
        </w:rPr>
      </w:pPr>
      <w:r>
        <w:rPr>
          <w:rFonts w:hint="eastAsia" w:ascii="仿宋" w:hAnsi="仿宋" w:eastAsia="仿宋"/>
          <w:kern w:val="0"/>
          <w:sz w:val="32"/>
          <w:szCs w:val="32"/>
        </w:rPr>
        <w:t>现货平台退出</w:t>
      </w:r>
      <w:r>
        <w:rPr>
          <w:rFonts w:ascii="仿宋" w:hAnsi="仿宋" w:eastAsia="仿宋"/>
          <w:kern w:val="0"/>
          <w:sz w:val="32"/>
          <w:szCs w:val="32"/>
        </w:rPr>
        <w:t>本业务的</w:t>
      </w:r>
      <w:r>
        <w:rPr>
          <w:rFonts w:hint="eastAsia" w:ascii="仿宋" w:hAnsi="仿宋" w:eastAsia="仿宋"/>
          <w:kern w:val="0"/>
          <w:sz w:val="32"/>
          <w:szCs w:val="32"/>
        </w:rPr>
        <w:t>，需提前一个月书面通知上海清算所，并在其官方网站上进行公示，告知相关参与者。</w:t>
      </w:r>
      <w:r>
        <w:rPr>
          <w:rFonts w:ascii="仿宋" w:hAnsi="仿宋" w:eastAsia="仿宋"/>
          <w:kern w:val="0"/>
          <w:sz w:val="32"/>
          <w:szCs w:val="32"/>
        </w:rPr>
        <w:t>双方结清所有债权债务</w:t>
      </w:r>
      <w:r>
        <w:rPr>
          <w:rFonts w:hint="eastAsia" w:ascii="仿宋" w:hAnsi="仿宋" w:eastAsia="仿宋"/>
          <w:kern w:val="0"/>
          <w:sz w:val="32"/>
          <w:szCs w:val="32"/>
        </w:rPr>
        <w:t>、</w:t>
      </w:r>
      <w:r>
        <w:rPr>
          <w:rFonts w:ascii="仿宋" w:hAnsi="仿宋" w:eastAsia="仿宋"/>
          <w:kern w:val="0"/>
          <w:sz w:val="32"/>
          <w:szCs w:val="32"/>
        </w:rPr>
        <w:t>履行相关手续</w:t>
      </w:r>
      <w:r>
        <w:rPr>
          <w:rFonts w:hint="eastAsia" w:ascii="仿宋" w:hAnsi="仿宋" w:eastAsia="仿宋"/>
          <w:kern w:val="0"/>
          <w:sz w:val="32"/>
          <w:szCs w:val="32"/>
        </w:rPr>
        <w:t>后</w:t>
      </w:r>
      <w:r>
        <w:rPr>
          <w:rFonts w:ascii="仿宋" w:hAnsi="仿宋" w:eastAsia="仿宋"/>
          <w:kern w:val="0"/>
          <w:sz w:val="32"/>
          <w:szCs w:val="32"/>
        </w:rPr>
        <w:t>解除清算服务关系</w:t>
      </w:r>
      <w:r>
        <w:rPr>
          <w:rFonts w:hint="eastAsia" w:ascii="仿宋" w:hAnsi="仿宋" w:eastAsia="仿宋"/>
          <w:kern w:val="0"/>
          <w:sz w:val="32"/>
          <w:szCs w:val="32"/>
        </w:rPr>
        <w:t>。因现货平台退出本业务所产生的任何损失与纠纷，由现货平台承担责任并处理。</w:t>
      </w:r>
    </w:p>
    <w:p>
      <w:pPr>
        <w:pStyle w:val="4"/>
        <w:spacing w:line="580" w:lineRule="exact"/>
        <w:ind w:left="0"/>
        <w:rPr>
          <w:sz w:val="32"/>
          <w:szCs w:val="32"/>
        </w:rPr>
      </w:pPr>
      <w:bookmarkStart w:id="14" w:name="_Toc134628738"/>
      <w:bookmarkStart w:id="15" w:name="_Toc41292898"/>
      <w:r>
        <w:rPr>
          <w:sz w:val="32"/>
          <w:szCs w:val="32"/>
        </w:rPr>
        <w:t>现货清算成员</w:t>
      </w:r>
      <w:bookmarkEnd w:id="14"/>
      <w:bookmarkEnd w:id="15"/>
    </w:p>
    <w:p>
      <w:pPr>
        <w:pStyle w:val="36"/>
        <w:numPr>
          <w:ilvl w:val="0"/>
          <w:numId w:val="3"/>
        </w:numPr>
        <w:spacing w:line="580" w:lineRule="exact"/>
        <w:jc w:val="both"/>
        <w:rPr>
          <w:rFonts w:hAnsi="仿宋"/>
          <w:sz w:val="32"/>
          <w:szCs w:val="32"/>
        </w:rPr>
      </w:pPr>
      <w:r>
        <w:rPr>
          <w:rFonts w:hint="eastAsia" w:hAnsi="仿宋"/>
          <w:sz w:val="32"/>
          <w:szCs w:val="32"/>
        </w:rPr>
        <w:t>符合如下</w:t>
      </w:r>
      <w:r>
        <w:rPr>
          <w:rFonts w:hAnsi="仿宋"/>
          <w:sz w:val="32"/>
          <w:szCs w:val="32"/>
        </w:rPr>
        <w:t>条件的</w:t>
      </w:r>
      <w:r>
        <w:rPr>
          <w:rFonts w:hint="eastAsia" w:hAnsi="仿宋"/>
          <w:sz w:val="32"/>
          <w:szCs w:val="32"/>
        </w:rPr>
        <w:t>商业</w:t>
      </w:r>
      <w:r>
        <w:rPr>
          <w:rFonts w:hAnsi="仿宋"/>
          <w:sz w:val="32"/>
          <w:szCs w:val="32"/>
        </w:rPr>
        <w:t>银行等金融机构可申请成为</w:t>
      </w:r>
      <w:r>
        <w:rPr>
          <w:rFonts w:hint="eastAsia" w:hAnsi="仿宋"/>
          <w:sz w:val="32"/>
          <w:szCs w:val="32"/>
        </w:rPr>
        <w:t>现货</w:t>
      </w:r>
      <w:r>
        <w:rPr>
          <w:rFonts w:hAnsi="仿宋"/>
          <w:sz w:val="32"/>
          <w:szCs w:val="32"/>
        </w:rPr>
        <w:t>清算</w:t>
      </w:r>
      <w:r>
        <w:rPr>
          <w:rFonts w:hint="eastAsia" w:hAnsi="仿宋"/>
          <w:sz w:val="32"/>
          <w:szCs w:val="32"/>
        </w:rPr>
        <w:t>成员</w:t>
      </w:r>
      <w:r>
        <w:rPr>
          <w:rFonts w:hAnsi="仿宋"/>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sz w:val="32"/>
          <w:szCs w:val="32"/>
        </w:rPr>
        <w:t>（一</w:t>
      </w:r>
      <w:r>
        <w:rPr>
          <w:rFonts w:ascii="仿宋" w:hAnsi="仿宋" w:eastAsia="仿宋"/>
          <w:sz w:val="32"/>
          <w:szCs w:val="32"/>
        </w:rPr>
        <w:t>）具有规范的</w:t>
      </w:r>
      <w:r>
        <w:rPr>
          <w:rFonts w:hint="eastAsia" w:ascii="仿宋" w:hAnsi="仿宋" w:eastAsia="仿宋"/>
          <w:sz w:val="32"/>
          <w:szCs w:val="32"/>
        </w:rPr>
        <w:t>管理制度、</w:t>
      </w:r>
      <w:r>
        <w:rPr>
          <w:rFonts w:ascii="仿宋" w:hAnsi="仿宋" w:eastAsia="仿宋"/>
          <w:sz w:val="32"/>
          <w:szCs w:val="32"/>
        </w:rPr>
        <w:t>风控机制和健全的技术系统，</w:t>
      </w:r>
      <w:r>
        <w:rPr>
          <w:rFonts w:hint="eastAsia" w:ascii="仿宋" w:hAnsi="仿宋" w:eastAsia="仿宋"/>
          <w:sz w:val="32"/>
          <w:szCs w:val="32"/>
        </w:rPr>
        <w:t>有能力开展本业务。</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（二</w:t>
      </w:r>
      <w:r>
        <w:rPr>
          <w:rFonts w:ascii="仿宋" w:hAnsi="仿宋" w:eastAsia="仿宋"/>
          <w:kern w:val="0"/>
          <w:sz w:val="32"/>
          <w:szCs w:val="32"/>
        </w:rPr>
        <w:t>）遵守</w:t>
      </w:r>
      <w:r>
        <w:rPr>
          <w:rFonts w:hint="eastAsia" w:ascii="仿宋" w:hAnsi="仿宋" w:eastAsia="仿宋"/>
          <w:kern w:val="0"/>
          <w:sz w:val="32"/>
          <w:szCs w:val="32"/>
        </w:rPr>
        <w:t>相关监管</w:t>
      </w:r>
      <w:r>
        <w:rPr>
          <w:rFonts w:ascii="仿宋" w:hAnsi="仿宋" w:eastAsia="仿宋"/>
          <w:kern w:val="0"/>
          <w:sz w:val="32"/>
          <w:szCs w:val="32"/>
        </w:rPr>
        <w:t>部门有关规定，最近两年内</w:t>
      </w:r>
      <w:r>
        <w:rPr>
          <w:rFonts w:hint="eastAsia" w:ascii="仿宋" w:hAnsi="仿宋" w:eastAsia="仿宋"/>
          <w:kern w:val="0"/>
          <w:sz w:val="32"/>
          <w:szCs w:val="32"/>
        </w:rPr>
        <w:t>未发生经上海清算所评估足以影响本业务开展</w:t>
      </w:r>
      <w:r>
        <w:rPr>
          <w:rFonts w:ascii="仿宋" w:hAnsi="仿宋" w:eastAsia="仿宋"/>
          <w:kern w:val="0"/>
          <w:sz w:val="32"/>
          <w:szCs w:val="32"/>
        </w:rPr>
        <w:t>的重大违法、违规记录，未发生重大风险事件</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（三</w:t>
      </w:r>
      <w:r>
        <w:rPr>
          <w:rFonts w:ascii="仿宋" w:hAnsi="仿宋" w:eastAsia="仿宋"/>
          <w:kern w:val="0"/>
          <w:sz w:val="32"/>
          <w:szCs w:val="32"/>
        </w:rPr>
        <w:t>）具有较好的持续经营能力，未被采取停业整顿、托管、接管、撤销、关闭等监管或处罚措施，未启动接管、破产、重整、清算的行政或司法程序等</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（四</w:t>
      </w:r>
      <w:r>
        <w:rPr>
          <w:rFonts w:ascii="仿宋" w:hAnsi="仿宋" w:eastAsia="仿宋"/>
          <w:kern w:val="0"/>
          <w:sz w:val="32"/>
          <w:szCs w:val="32"/>
        </w:rPr>
        <w:t>）上海清算所要求的其他条件。</w:t>
      </w:r>
    </w:p>
    <w:p>
      <w:pPr>
        <w:pStyle w:val="36"/>
        <w:numPr>
          <w:ilvl w:val="0"/>
          <w:numId w:val="3"/>
        </w:numPr>
        <w:spacing w:line="580" w:lineRule="exact"/>
        <w:jc w:val="both"/>
        <w:rPr>
          <w:rFonts w:hAnsi="仿宋"/>
          <w:sz w:val="32"/>
          <w:szCs w:val="32"/>
        </w:rPr>
      </w:pPr>
      <w:r>
        <w:rPr>
          <w:rFonts w:hint="eastAsia" w:hAnsi="仿宋"/>
          <w:sz w:val="32"/>
          <w:szCs w:val="32"/>
        </w:rPr>
        <w:t>申请成为现货清算成员，应向上海清算所提交加盖公章的以下材料：</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（一</w:t>
      </w:r>
      <w:r>
        <w:rPr>
          <w:rFonts w:ascii="仿宋" w:hAnsi="仿宋" w:eastAsia="仿宋"/>
          <w:kern w:val="0"/>
          <w:sz w:val="32"/>
          <w:szCs w:val="32"/>
        </w:rPr>
        <w:t>）</w:t>
      </w:r>
      <w:r>
        <w:rPr>
          <w:rFonts w:hint="eastAsia" w:ascii="仿宋" w:hAnsi="仿宋" w:eastAsia="仿宋"/>
          <w:kern w:val="0"/>
          <w:sz w:val="32"/>
          <w:szCs w:val="32"/>
        </w:rPr>
        <w:t>《大宗商品现货清算业务现货清算</w:t>
      </w:r>
      <w:r>
        <w:rPr>
          <w:rFonts w:ascii="仿宋" w:hAnsi="仿宋" w:eastAsia="仿宋"/>
          <w:kern w:val="0"/>
          <w:sz w:val="32"/>
          <w:szCs w:val="32"/>
        </w:rPr>
        <w:t>成员资格</w:t>
      </w:r>
      <w:r>
        <w:rPr>
          <w:rFonts w:hint="eastAsia" w:ascii="仿宋" w:hAnsi="仿宋" w:eastAsia="仿宋"/>
          <w:kern w:val="0"/>
          <w:sz w:val="32"/>
          <w:szCs w:val="32"/>
        </w:rPr>
        <w:t>申请书》（附</w:t>
      </w:r>
      <w:r>
        <w:rPr>
          <w:rFonts w:ascii="仿宋" w:hAnsi="仿宋" w:eastAsia="仿宋"/>
          <w:kern w:val="0"/>
          <w:sz w:val="32"/>
          <w:szCs w:val="32"/>
        </w:rPr>
        <w:t>9</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（二</w:t>
      </w:r>
      <w:r>
        <w:rPr>
          <w:rFonts w:ascii="仿宋" w:hAnsi="仿宋" w:eastAsia="仿宋"/>
          <w:kern w:val="0"/>
          <w:sz w:val="32"/>
          <w:szCs w:val="32"/>
        </w:rPr>
        <w:t>）</w:t>
      </w:r>
      <w:r>
        <w:rPr>
          <w:rFonts w:hint="eastAsia" w:ascii="仿宋" w:hAnsi="仿宋" w:eastAsia="仿宋"/>
          <w:kern w:val="0"/>
          <w:sz w:val="32"/>
          <w:szCs w:val="32"/>
        </w:rPr>
        <w:t>《大宗商品现货清算业务现货清算成员</w:t>
      </w:r>
      <w:r>
        <w:rPr>
          <w:rFonts w:ascii="仿宋" w:hAnsi="仿宋" w:eastAsia="仿宋"/>
          <w:kern w:val="0"/>
          <w:sz w:val="32"/>
          <w:szCs w:val="32"/>
        </w:rPr>
        <w:t>登记表</w:t>
      </w:r>
      <w:r>
        <w:rPr>
          <w:rFonts w:hint="eastAsia" w:ascii="仿宋" w:hAnsi="仿宋" w:eastAsia="仿宋"/>
          <w:kern w:val="0"/>
          <w:sz w:val="32"/>
          <w:szCs w:val="32"/>
        </w:rPr>
        <w:t>》（附</w:t>
      </w:r>
      <w:r>
        <w:rPr>
          <w:rFonts w:ascii="仿宋" w:hAnsi="仿宋" w:eastAsia="仿宋"/>
          <w:kern w:val="0"/>
          <w:sz w:val="32"/>
          <w:szCs w:val="32"/>
        </w:rPr>
        <w:t>10</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bookmarkStart w:id="16" w:name="_Ref323721527"/>
      <w:r>
        <w:rPr>
          <w:rFonts w:hint="eastAsia" w:ascii="仿宋" w:hAnsi="仿宋" w:eastAsia="仿宋"/>
          <w:kern w:val="0"/>
          <w:sz w:val="32"/>
          <w:szCs w:val="32"/>
        </w:rPr>
        <w:t>（三</w:t>
      </w:r>
      <w:r>
        <w:rPr>
          <w:rFonts w:ascii="仿宋" w:hAnsi="仿宋" w:eastAsia="仿宋"/>
          <w:kern w:val="0"/>
          <w:sz w:val="32"/>
          <w:szCs w:val="32"/>
        </w:rPr>
        <w:t>）</w:t>
      </w:r>
      <w:r>
        <w:rPr>
          <w:rFonts w:hint="eastAsia" w:ascii="仿宋" w:hAnsi="仿宋" w:eastAsia="仿宋"/>
          <w:kern w:val="0"/>
          <w:sz w:val="32"/>
          <w:szCs w:val="32"/>
        </w:rPr>
        <w:t>《大宗商品现货清算业务资金结算账户申请表》（附</w:t>
      </w:r>
      <w:r>
        <w:rPr>
          <w:rFonts w:ascii="仿宋" w:hAnsi="仿宋" w:eastAsia="仿宋"/>
          <w:kern w:val="0"/>
          <w:sz w:val="32"/>
          <w:szCs w:val="32"/>
        </w:rPr>
        <w:t>11</w:t>
      </w:r>
      <w:r>
        <w:rPr>
          <w:rFonts w:hint="eastAsia" w:ascii="仿宋" w:hAnsi="仿宋" w:eastAsia="仿宋"/>
          <w:kern w:val="0"/>
          <w:sz w:val="32"/>
          <w:szCs w:val="32"/>
        </w:rPr>
        <w:t>）。</w:t>
      </w:r>
      <w:bookmarkEnd w:id="16"/>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（四</w:t>
      </w:r>
      <w:r>
        <w:rPr>
          <w:rFonts w:ascii="仿宋" w:hAnsi="仿宋" w:eastAsia="仿宋"/>
          <w:kern w:val="0"/>
          <w:sz w:val="32"/>
          <w:szCs w:val="32"/>
        </w:rPr>
        <w:t>）</w:t>
      </w:r>
      <w:r>
        <w:rPr>
          <w:rFonts w:hint="eastAsia" w:ascii="仿宋" w:hAnsi="仿宋" w:eastAsia="仿宋"/>
          <w:kern w:val="0"/>
          <w:sz w:val="32"/>
          <w:szCs w:val="32"/>
        </w:rPr>
        <w:t>《大宗商品现货清算业务</w:t>
      </w:r>
      <w:r>
        <w:rPr>
          <w:rFonts w:ascii="仿宋" w:hAnsi="仿宋" w:eastAsia="仿宋"/>
          <w:kern w:val="0"/>
          <w:sz w:val="32"/>
          <w:szCs w:val="32"/>
        </w:rPr>
        <w:t>印鉴卡</w:t>
      </w:r>
      <w:r>
        <w:rPr>
          <w:rFonts w:hint="eastAsia" w:ascii="仿宋" w:hAnsi="仿宋" w:eastAsia="仿宋"/>
          <w:kern w:val="0"/>
          <w:sz w:val="32"/>
          <w:szCs w:val="32"/>
        </w:rPr>
        <w:t>》</w:t>
      </w:r>
      <w:r>
        <w:rPr>
          <w:rFonts w:ascii="仿宋" w:hAnsi="仿宋" w:eastAsia="仿宋"/>
          <w:kern w:val="0"/>
          <w:sz w:val="32"/>
          <w:szCs w:val="32"/>
        </w:rPr>
        <w:t>（附7</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（五）《大宗商品现货清算业务费用缴纳专户申请表》（附</w:t>
      </w:r>
      <w:r>
        <w:rPr>
          <w:rFonts w:ascii="仿宋" w:hAnsi="仿宋" w:eastAsia="仿宋"/>
          <w:kern w:val="0"/>
          <w:sz w:val="32"/>
          <w:szCs w:val="32"/>
        </w:rPr>
        <w:t>8</w:t>
      </w:r>
      <w:r>
        <w:rPr>
          <w:rFonts w:hint="eastAsia" w:ascii="仿宋" w:hAnsi="仿宋" w:eastAsia="仿宋"/>
          <w:kern w:val="0"/>
          <w:sz w:val="32"/>
          <w:szCs w:val="32"/>
        </w:rPr>
        <w:t>，选择主动缴纳本业务费用的现货清算成员适用）。</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（六</w:t>
      </w:r>
      <w:r>
        <w:rPr>
          <w:rFonts w:ascii="仿宋" w:hAnsi="仿宋" w:eastAsia="仿宋"/>
          <w:kern w:val="0"/>
          <w:sz w:val="32"/>
          <w:szCs w:val="32"/>
        </w:rPr>
        <w:t>）清算业务协议</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w:t>
      </w:r>
      <w:r>
        <w:rPr>
          <w:rFonts w:ascii="仿宋" w:hAnsi="仿宋" w:eastAsia="仿宋"/>
          <w:kern w:val="0"/>
          <w:sz w:val="32"/>
          <w:szCs w:val="32"/>
        </w:rPr>
        <w:t>七）最新经年检的营业执照复印件</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w:t>
      </w:r>
      <w:r>
        <w:rPr>
          <w:rFonts w:ascii="仿宋" w:hAnsi="仿宋" w:eastAsia="仿宋"/>
          <w:kern w:val="0"/>
          <w:sz w:val="32"/>
          <w:szCs w:val="32"/>
        </w:rPr>
        <w:t>八）机构法人许可证复印件</w:t>
      </w:r>
      <w:r>
        <w:rPr>
          <w:rFonts w:hint="eastAsia" w:ascii="仿宋" w:hAnsi="仿宋" w:eastAsia="仿宋"/>
          <w:kern w:val="0"/>
          <w:sz w:val="32"/>
          <w:szCs w:val="32"/>
        </w:rPr>
        <w:t>（若有</w:t>
      </w:r>
      <w:r>
        <w:rPr>
          <w:rFonts w:ascii="仿宋" w:hAnsi="仿宋" w:eastAsia="仿宋"/>
          <w:kern w:val="0"/>
          <w:sz w:val="32"/>
          <w:szCs w:val="32"/>
        </w:rPr>
        <w:t>）</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w:t>
      </w:r>
      <w:r>
        <w:rPr>
          <w:rFonts w:ascii="仿宋" w:hAnsi="仿宋" w:eastAsia="仿宋"/>
          <w:kern w:val="0"/>
          <w:sz w:val="32"/>
          <w:szCs w:val="32"/>
        </w:rPr>
        <w:t>九）</w:t>
      </w:r>
      <w:r>
        <w:rPr>
          <w:rFonts w:hint="eastAsia" w:ascii="仿宋" w:hAnsi="仿宋" w:eastAsia="仿宋"/>
          <w:kern w:val="0"/>
          <w:sz w:val="32"/>
          <w:szCs w:val="32"/>
        </w:rPr>
        <w:t>母公司或总部授权书面文件（金融机构分支机构适用</w:t>
      </w:r>
      <w:r>
        <w:rPr>
          <w:rFonts w:ascii="仿宋" w:hAnsi="仿宋" w:eastAsia="仿宋"/>
          <w:kern w:val="0"/>
          <w:sz w:val="32"/>
          <w:szCs w:val="32"/>
        </w:rPr>
        <w:t>）</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（十）</w:t>
      </w:r>
      <w:r>
        <w:rPr>
          <w:rFonts w:ascii="仿宋" w:hAnsi="仿宋" w:eastAsia="仿宋"/>
          <w:kern w:val="0"/>
          <w:sz w:val="32"/>
          <w:szCs w:val="32"/>
        </w:rPr>
        <w:t>与</w:t>
      </w:r>
      <w:r>
        <w:rPr>
          <w:rFonts w:hint="eastAsia" w:ascii="仿宋" w:hAnsi="仿宋" w:eastAsia="仿宋"/>
          <w:kern w:val="0"/>
          <w:sz w:val="32"/>
          <w:szCs w:val="32"/>
        </w:rPr>
        <w:t>集中接入</w:t>
      </w:r>
      <w:r>
        <w:rPr>
          <w:rFonts w:ascii="仿宋" w:hAnsi="仿宋" w:eastAsia="仿宋"/>
          <w:kern w:val="0"/>
          <w:sz w:val="32"/>
          <w:szCs w:val="32"/>
        </w:rPr>
        <w:t>机构的</w:t>
      </w:r>
      <w:r>
        <w:rPr>
          <w:rFonts w:hint="eastAsia" w:ascii="仿宋" w:hAnsi="仿宋" w:eastAsia="仿宋"/>
          <w:kern w:val="0"/>
          <w:sz w:val="32"/>
          <w:szCs w:val="32"/>
        </w:rPr>
        <w:t>集中接入服务</w:t>
      </w:r>
      <w:r>
        <w:rPr>
          <w:rFonts w:ascii="仿宋" w:hAnsi="仿宋" w:eastAsia="仿宋"/>
          <w:kern w:val="0"/>
          <w:sz w:val="32"/>
          <w:szCs w:val="32"/>
        </w:rPr>
        <w:t>协议复印件</w:t>
      </w:r>
      <w:r>
        <w:rPr>
          <w:rFonts w:hint="eastAsia" w:ascii="仿宋" w:hAnsi="仿宋" w:eastAsia="仿宋"/>
          <w:kern w:val="0"/>
          <w:sz w:val="32"/>
          <w:szCs w:val="32"/>
        </w:rPr>
        <w:t>（通过集中接入</w:t>
      </w:r>
      <w:r>
        <w:rPr>
          <w:rFonts w:ascii="仿宋" w:hAnsi="仿宋" w:eastAsia="仿宋"/>
          <w:kern w:val="0"/>
          <w:sz w:val="32"/>
          <w:szCs w:val="32"/>
        </w:rPr>
        <w:t>机构</w:t>
      </w:r>
      <w:r>
        <w:rPr>
          <w:rFonts w:hint="eastAsia" w:ascii="仿宋" w:hAnsi="仿宋" w:eastAsia="仿宋"/>
          <w:kern w:val="0"/>
          <w:sz w:val="32"/>
          <w:szCs w:val="32"/>
        </w:rPr>
        <w:t>间接</w:t>
      </w:r>
      <w:r>
        <w:rPr>
          <w:rFonts w:ascii="仿宋" w:hAnsi="仿宋" w:eastAsia="仿宋"/>
          <w:kern w:val="0"/>
          <w:sz w:val="32"/>
          <w:szCs w:val="32"/>
        </w:rPr>
        <w:t>接入上海清算所业务系统的</w:t>
      </w:r>
      <w:r>
        <w:rPr>
          <w:rFonts w:hint="eastAsia" w:ascii="仿宋" w:hAnsi="仿宋" w:eastAsia="仿宋"/>
          <w:kern w:val="0"/>
          <w:sz w:val="32"/>
          <w:szCs w:val="32"/>
        </w:rPr>
        <w:t>机构</w:t>
      </w:r>
      <w:r>
        <w:rPr>
          <w:rFonts w:ascii="仿宋" w:hAnsi="仿宋" w:eastAsia="仿宋"/>
          <w:kern w:val="0"/>
          <w:sz w:val="32"/>
          <w:szCs w:val="32"/>
        </w:rPr>
        <w:t>适用</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kern w:val="0"/>
          <w:sz w:val="32"/>
          <w:szCs w:val="32"/>
        </w:rPr>
      </w:pPr>
      <w:r>
        <w:rPr>
          <w:rFonts w:hint="eastAsia" w:ascii="仿宋" w:hAnsi="仿宋" w:eastAsia="仿宋"/>
          <w:kern w:val="0"/>
          <w:sz w:val="32"/>
          <w:szCs w:val="32"/>
        </w:rPr>
        <w:t>（十</w:t>
      </w:r>
      <w:r>
        <w:rPr>
          <w:rFonts w:ascii="仿宋" w:hAnsi="仿宋" w:eastAsia="仿宋"/>
          <w:kern w:val="0"/>
          <w:sz w:val="32"/>
          <w:szCs w:val="32"/>
        </w:rPr>
        <w:t>一）上海清算所要求的其他材料。</w:t>
      </w:r>
    </w:p>
    <w:p>
      <w:pPr>
        <w:spacing w:line="580" w:lineRule="exact"/>
        <w:ind w:left="-141" w:leftChars="-67" w:firstLine="640" w:firstLineChars="200"/>
        <w:rPr>
          <w:rFonts w:ascii="仿宋" w:hAnsi="仿宋" w:eastAsia="仿宋"/>
          <w:sz w:val="32"/>
          <w:szCs w:val="32"/>
        </w:rPr>
      </w:pPr>
      <w:r>
        <w:rPr>
          <w:rFonts w:hint="eastAsia" w:ascii="仿宋" w:hAnsi="仿宋" w:eastAsia="仿宋"/>
          <w:kern w:val="0"/>
          <w:sz w:val="32"/>
          <w:szCs w:val="32"/>
        </w:rPr>
        <w:t>以上文件，凡用外文书写的，应附相应中文译本，如两文本有歧义，以中文文本为准。</w:t>
      </w:r>
      <w:r>
        <w:rPr>
          <w:rFonts w:hint="eastAsia" w:ascii="仿宋" w:hAnsi="仿宋" w:eastAsia="仿宋"/>
          <w:sz w:val="32"/>
          <w:szCs w:val="32"/>
        </w:rPr>
        <w:t>上海清算所接收</w:t>
      </w:r>
      <w:r>
        <w:rPr>
          <w:rFonts w:ascii="仿宋" w:hAnsi="仿宋" w:eastAsia="仿宋"/>
          <w:sz w:val="32"/>
          <w:szCs w:val="32"/>
        </w:rPr>
        <w:t>上述申请材料并审核无误后，完成与相关机构的</w:t>
      </w:r>
      <w:r>
        <w:rPr>
          <w:rFonts w:hint="eastAsia" w:ascii="仿宋" w:hAnsi="仿宋" w:eastAsia="仿宋"/>
          <w:sz w:val="32"/>
          <w:szCs w:val="32"/>
        </w:rPr>
        <w:t>协议签订流程</w:t>
      </w:r>
      <w:r>
        <w:rPr>
          <w:rFonts w:ascii="仿宋" w:hAnsi="仿宋" w:eastAsia="仿宋"/>
          <w:sz w:val="32"/>
          <w:szCs w:val="32"/>
        </w:rPr>
        <w:t>。协议</w:t>
      </w:r>
      <w:r>
        <w:rPr>
          <w:rFonts w:hint="eastAsia" w:ascii="仿宋" w:hAnsi="仿宋" w:eastAsia="仿宋"/>
          <w:sz w:val="32"/>
          <w:szCs w:val="32"/>
        </w:rPr>
        <w:t>签订后</w:t>
      </w:r>
      <w:r>
        <w:rPr>
          <w:rFonts w:ascii="仿宋" w:hAnsi="仿宋" w:eastAsia="仿宋"/>
          <w:sz w:val="32"/>
          <w:szCs w:val="32"/>
        </w:rPr>
        <w:t>，相关机构</w:t>
      </w:r>
      <w:r>
        <w:rPr>
          <w:rFonts w:hint="eastAsia" w:ascii="仿宋" w:hAnsi="仿宋" w:eastAsia="仿宋"/>
          <w:sz w:val="32"/>
          <w:szCs w:val="32"/>
        </w:rPr>
        <w:t>正式成为上海清算所现货清算成员</w:t>
      </w:r>
      <w:r>
        <w:rPr>
          <w:rFonts w:ascii="仿宋" w:hAnsi="仿宋" w:eastAsia="仿宋"/>
          <w:sz w:val="32"/>
          <w:szCs w:val="32"/>
        </w:rPr>
        <w:t>。</w:t>
      </w:r>
    </w:p>
    <w:p>
      <w:pPr>
        <w:pStyle w:val="36"/>
        <w:numPr>
          <w:ilvl w:val="0"/>
          <w:numId w:val="3"/>
        </w:numPr>
        <w:spacing w:line="580" w:lineRule="exact"/>
        <w:jc w:val="both"/>
        <w:rPr>
          <w:rFonts w:hAnsi="仿宋"/>
          <w:sz w:val="32"/>
          <w:szCs w:val="32"/>
        </w:rPr>
      </w:pPr>
      <w:r>
        <w:rPr>
          <w:rFonts w:hint="eastAsia" w:hAnsi="仿宋"/>
          <w:sz w:val="32"/>
          <w:szCs w:val="32"/>
        </w:rPr>
        <w:t>现货清算成员应及时完成本业务开展前的准备工作</w:t>
      </w:r>
      <w:r>
        <w:rPr>
          <w:rFonts w:hAnsi="仿宋"/>
          <w:sz w:val="32"/>
          <w:szCs w:val="32"/>
        </w:rPr>
        <w:t>，包括：</w:t>
      </w:r>
    </w:p>
    <w:p>
      <w:pPr>
        <w:spacing w:line="580" w:lineRule="exact"/>
        <w:ind w:left="-141" w:leftChars="-67" w:firstLine="640" w:firstLineChars="200"/>
        <w:rPr>
          <w:rFonts w:ascii="仿宋" w:hAnsi="仿宋" w:eastAsia="仿宋"/>
          <w:sz w:val="32"/>
          <w:szCs w:val="32"/>
        </w:rPr>
      </w:pPr>
      <w:r>
        <w:rPr>
          <w:rFonts w:hint="eastAsia" w:ascii="仿宋" w:hAnsi="仿宋" w:eastAsia="仿宋"/>
          <w:kern w:val="0"/>
          <w:sz w:val="32"/>
          <w:szCs w:val="32"/>
        </w:rPr>
        <w:t>（一</w:t>
      </w:r>
      <w:r>
        <w:rPr>
          <w:rFonts w:ascii="仿宋" w:hAnsi="仿宋" w:eastAsia="仿宋"/>
          <w:kern w:val="0"/>
          <w:sz w:val="32"/>
          <w:szCs w:val="32"/>
        </w:rPr>
        <w:t>）</w:t>
      </w:r>
      <w:r>
        <w:rPr>
          <w:rFonts w:hint="eastAsia" w:ascii="仿宋" w:hAnsi="仿宋" w:eastAsia="仿宋"/>
          <w:kern w:val="0"/>
          <w:sz w:val="32"/>
          <w:szCs w:val="32"/>
        </w:rPr>
        <w:t>指定其</w:t>
      </w:r>
      <w:r>
        <w:rPr>
          <w:rFonts w:ascii="仿宋" w:hAnsi="仿宋" w:eastAsia="仿宋"/>
          <w:kern w:val="0"/>
          <w:sz w:val="32"/>
          <w:szCs w:val="32"/>
        </w:rPr>
        <w:t>在</w:t>
      </w:r>
      <w:r>
        <w:rPr>
          <w:rFonts w:hint="eastAsia" w:ascii="仿宋" w:hAnsi="仿宋" w:eastAsia="仿宋"/>
          <w:kern w:val="0"/>
          <w:sz w:val="32"/>
          <w:szCs w:val="32"/>
        </w:rPr>
        <w:t>中国人民银行大额支付系统（以下</w:t>
      </w:r>
      <w:r>
        <w:rPr>
          <w:rFonts w:ascii="仿宋" w:hAnsi="仿宋" w:eastAsia="仿宋"/>
          <w:kern w:val="0"/>
          <w:sz w:val="32"/>
          <w:szCs w:val="32"/>
        </w:rPr>
        <w:t>简称大额支付系统）</w:t>
      </w:r>
      <w:r>
        <w:rPr>
          <w:rFonts w:hint="eastAsia" w:ascii="仿宋" w:hAnsi="仿宋" w:eastAsia="仿宋"/>
          <w:kern w:val="0"/>
          <w:sz w:val="32"/>
          <w:szCs w:val="32"/>
        </w:rPr>
        <w:t>开立的清算账户作为</w:t>
      </w:r>
      <w:r>
        <w:rPr>
          <w:rFonts w:ascii="仿宋" w:hAnsi="仿宋" w:eastAsia="仿宋"/>
          <w:kern w:val="0"/>
          <w:sz w:val="32"/>
          <w:szCs w:val="32"/>
        </w:rPr>
        <w:t>资金结算账户，</w:t>
      </w:r>
      <w:r>
        <w:rPr>
          <w:rFonts w:hint="eastAsia" w:ascii="仿宋" w:hAnsi="仿宋" w:eastAsia="仿宋"/>
          <w:sz w:val="32"/>
          <w:szCs w:val="32"/>
        </w:rPr>
        <w:t>通过该账户进行结算资金</w:t>
      </w:r>
      <w:r>
        <w:rPr>
          <w:rFonts w:ascii="仿宋" w:hAnsi="仿宋" w:eastAsia="仿宋"/>
          <w:sz w:val="32"/>
          <w:szCs w:val="32"/>
        </w:rPr>
        <w:t>、费用及</w:t>
      </w:r>
      <w:r>
        <w:rPr>
          <w:rFonts w:hint="eastAsia" w:ascii="仿宋" w:hAnsi="仿宋" w:eastAsia="仿宋"/>
          <w:sz w:val="32"/>
          <w:szCs w:val="32"/>
        </w:rPr>
        <w:t>相关款项的结算</w:t>
      </w:r>
      <w:r>
        <w:rPr>
          <w:rFonts w:ascii="仿宋" w:hAnsi="仿宋" w:eastAsia="仿宋"/>
          <w:kern w:val="0"/>
          <w:sz w:val="32"/>
          <w:szCs w:val="32"/>
        </w:rPr>
        <w:t>。</w:t>
      </w:r>
    </w:p>
    <w:p>
      <w:pPr>
        <w:spacing w:line="580" w:lineRule="exact"/>
        <w:ind w:left="-141" w:leftChars="-67"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指定业务</w:t>
      </w:r>
      <w:r>
        <w:rPr>
          <w:rFonts w:ascii="仿宋" w:hAnsi="仿宋" w:eastAsia="仿宋"/>
          <w:sz w:val="32"/>
          <w:szCs w:val="32"/>
        </w:rPr>
        <w:t>人员</w:t>
      </w:r>
      <w:r>
        <w:rPr>
          <w:rFonts w:hint="eastAsia" w:ascii="仿宋" w:hAnsi="仿宋" w:eastAsia="仿宋"/>
          <w:sz w:val="32"/>
          <w:szCs w:val="32"/>
        </w:rPr>
        <w:t>代表</w:t>
      </w:r>
      <w:r>
        <w:rPr>
          <w:rFonts w:ascii="仿宋" w:hAnsi="仿宋" w:eastAsia="仿宋"/>
          <w:sz w:val="32"/>
          <w:szCs w:val="32"/>
        </w:rPr>
        <w:t>其办理</w:t>
      </w:r>
      <w:r>
        <w:rPr>
          <w:rFonts w:hint="eastAsia" w:ascii="仿宋" w:hAnsi="仿宋" w:eastAsia="仿宋"/>
          <w:sz w:val="32"/>
          <w:szCs w:val="32"/>
        </w:rPr>
        <w:t>大宗商品</w:t>
      </w:r>
      <w:r>
        <w:rPr>
          <w:rFonts w:ascii="仿宋" w:hAnsi="仿宋" w:eastAsia="仿宋"/>
          <w:sz w:val="32"/>
          <w:szCs w:val="32"/>
        </w:rPr>
        <w:t>现货的</w:t>
      </w:r>
      <w:r>
        <w:rPr>
          <w:rFonts w:hint="eastAsia" w:ascii="仿宋" w:hAnsi="仿宋" w:eastAsia="仿宋"/>
          <w:sz w:val="32"/>
          <w:szCs w:val="32"/>
        </w:rPr>
        <w:t>资金</w:t>
      </w:r>
      <w:r>
        <w:rPr>
          <w:rFonts w:ascii="仿宋" w:hAnsi="仿宋" w:eastAsia="仿宋"/>
          <w:sz w:val="32"/>
          <w:szCs w:val="32"/>
        </w:rPr>
        <w:t>清算结算业务</w:t>
      </w:r>
      <w:r>
        <w:rPr>
          <w:rFonts w:hint="eastAsia" w:ascii="仿宋" w:hAnsi="仿宋" w:eastAsia="仿宋"/>
          <w:sz w:val="32"/>
          <w:szCs w:val="32"/>
        </w:rPr>
        <w:t>，</w:t>
      </w:r>
      <w:r>
        <w:rPr>
          <w:rFonts w:ascii="仿宋" w:hAnsi="仿宋" w:eastAsia="仿宋"/>
          <w:sz w:val="32"/>
          <w:szCs w:val="32"/>
        </w:rPr>
        <w:t>并</w:t>
      </w:r>
      <w:r>
        <w:rPr>
          <w:rFonts w:hint="eastAsia" w:ascii="仿宋" w:hAnsi="仿宋" w:eastAsia="仿宋"/>
          <w:sz w:val="32"/>
          <w:szCs w:val="32"/>
        </w:rPr>
        <w:t>安排</w:t>
      </w:r>
      <w:r>
        <w:rPr>
          <w:rFonts w:ascii="仿宋" w:hAnsi="仿宋" w:eastAsia="仿宋"/>
          <w:sz w:val="32"/>
          <w:szCs w:val="32"/>
        </w:rPr>
        <w:t>业务人员参加由上海清算所组织的业务培训。现货清算成员</w:t>
      </w:r>
      <w:r>
        <w:rPr>
          <w:rFonts w:hint="eastAsia" w:ascii="仿宋" w:hAnsi="仿宋" w:eastAsia="仿宋"/>
          <w:sz w:val="32"/>
          <w:szCs w:val="32"/>
        </w:rPr>
        <w:t>应对其业务</w:t>
      </w:r>
      <w:r>
        <w:rPr>
          <w:rFonts w:ascii="仿宋" w:hAnsi="仿宋" w:eastAsia="仿宋"/>
          <w:sz w:val="32"/>
          <w:szCs w:val="32"/>
        </w:rPr>
        <w:t>人员</w:t>
      </w:r>
      <w:r>
        <w:rPr>
          <w:rFonts w:hint="eastAsia" w:ascii="仿宋" w:hAnsi="仿宋" w:eastAsia="仿宋"/>
          <w:sz w:val="32"/>
          <w:szCs w:val="32"/>
        </w:rPr>
        <w:t>的行为负责。</w:t>
      </w:r>
    </w:p>
    <w:p>
      <w:pPr>
        <w:spacing w:line="580" w:lineRule="exact"/>
        <w:ind w:left="-141" w:leftChars="-67"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完成其内部业务系统的开发，直连接入上海清算所业务系统或通过集中接入</w:t>
      </w:r>
      <w:r>
        <w:rPr>
          <w:rFonts w:ascii="仿宋" w:hAnsi="仿宋" w:eastAsia="仿宋"/>
          <w:sz w:val="32"/>
          <w:szCs w:val="32"/>
        </w:rPr>
        <w:t>机构间接接入</w:t>
      </w:r>
      <w:r>
        <w:rPr>
          <w:rFonts w:hint="eastAsia" w:ascii="仿宋" w:hAnsi="仿宋" w:eastAsia="仿宋"/>
          <w:sz w:val="32"/>
          <w:szCs w:val="32"/>
        </w:rPr>
        <w:t>上海清算所业务系统。选择直连接入的，应完成与上海清算所</w:t>
      </w:r>
      <w:r>
        <w:rPr>
          <w:rFonts w:ascii="仿宋" w:hAnsi="仿宋" w:eastAsia="仿宋"/>
          <w:sz w:val="32"/>
          <w:szCs w:val="32"/>
        </w:rPr>
        <w:t>业务系统</w:t>
      </w:r>
      <w:r>
        <w:rPr>
          <w:rFonts w:hint="eastAsia" w:ascii="仿宋" w:hAnsi="仿宋" w:eastAsia="仿宋"/>
          <w:sz w:val="32"/>
          <w:szCs w:val="32"/>
        </w:rPr>
        <w:t>联网、联测工作。选择间接接入的，应完成与集中接入机构业务系统联网、联测工作。</w:t>
      </w:r>
    </w:p>
    <w:p>
      <w:pPr>
        <w:spacing w:line="580" w:lineRule="exact"/>
        <w:ind w:left="-141" w:leftChars="-67"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w:t>
      </w:r>
      <w:r>
        <w:rPr>
          <w:rFonts w:hint="eastAsia" w:ascii="仿宋" w:hAnsi="仿宋" w:eastAsia="仿宋"/>
          <w:sz w:val="32"/>
          <w:szCs w:val="32"/>
        </w:rPr>
        <w:t>根据上海清算所应急安排制定相应的应急制度或措施。</w:t>
      </w:r>
    </w:p>
    <w:p>
      <w:pPr>
        <w:spacing w:line="580" w:lineRule="exact"/>
        <w:ind w:left="-141" w:leftChars="-67"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w:t>
      </w:r>
      <w:r>
        <w:rPr>
          <w:rFonts w:hint="eastAsia" w:ascii="仿宋" w:hAnsi="仿宋" w:eastAsia="仿宋"/>
          <w:sz w:val="32"/>
          <w:szCs w:val="32"/>
        </w:rPr>
        <w:t>上海清算所要求的其他工作。</w:t>
      </w:r>
    </w:p>
    <w:p>
      <w:pPr>
        <w:pStyle w:val="36"/>
        <w:numPr>
          <w:ilvl w:val="0"/>
          <w:numId w:val="3"/>
        </w:numPr>
        <w:spacing w:line="580" w:lineRule="exact"/>
        <w:jc w:val="both"/>
        <w:rPr>
          <w:rFonts w:hAnsi="仿宋"/>
          <w:sz w:val="32"/>
          <w:szCs w:val="32"/>
        </w:rPr>
      </w:pPr>
      <w:r>
        <w:rPr>
          <w:rFonts w:hint="eastAsia" w:hAnsi="仿宋"/>
          <w:sz w:val="32"/>
          <w:szCs w:val="32"/>
        </w:rPr>
        <w:t>集中</w:t>
      </w:r>
      <w:r>
        <w:rPr>
          <w:rFonts w:hAnsi="仿宋"/>
          <w:sz w:val="32"/>
          <w:szCs w:val="32"/>
        </w:rPr>
        <w:t>接入机构</w:t>
      </w:r>
      <w:r>
        <w:rPr>
          <w:rFonts w:hint="eastAsia" w:hAnsi="仿宋"/>
          <w:sz w:val="32"/>
          <w:szCs w:val="32"/>
        </w:rPr>
        <w:t>，</w:t>
      </w:r>
      <w:r>
        <w:rPr>
          <w:rFonts w:hAnsi="仿宋"/>
          <w:sz w:val="32"/>
          <w:szCs w:val="32"/>
        </w:rPr>
        <w:t>是指上海清算所认可的</w:t>
      </w:r>
      <w:r>
        <w:rPr>
          <w:rFonts w:hint="eastAsia" w:hAnsi="仿宋"/>
          <w:sz w:val="32"/>
          <w:szCs w:val="32"/>
        </w:rPr>
        <w:t>，</w:t>
      </w:r>
      <w:r>
        <w:rPr>
          <w:rFonts w:hAnsi="仿宋"/>
          <w:sz w:val="32"/>
          <w:szCs w:val="32"/>
        </w:rPr>
        <w:t>为现货清算成员提供系统及网络集中接入服务</w:t>
      </w:r>
      <w:r>
        <w:rPr>
          <w:rFonts w:hint="eastAsia" w:hAnsi="仿宋"/>
          <w:sz w:val="32"/>
          <w:szCs w:val="32"/>
        </w:rPr>
        <w:t>的</w:t>
      </w:r>
      <w:r>
        <w:rPr>
          <w:rFonts w:hAnsi="仿宋"/>
          <w:sz w:val="32"/>
          <w:szCs w:val="32"/>
        </w:rPr>
        <w:t>机构。集中接入机构</w:t>
      </w:r>
      <w:r>
        <w:rPr>
          <w:rFonts w:hint="eastAsia" w:hAnsi="仿宋"/>
          <w:sz w:val="32"/>
          <w:szCs w:val="32"/>
        </w:rPr>
        <w:t>仅提供相关现货清算成员接入上海清算所业务系统的技术通道，承担上海清算所</w:t>
      </w:r>
      <w:r>
        <w:rPr>
          <w:rFonts w:hAnsi="仿宋"/>
          <w:sz w:val="32"/>
          <w:szCs w:val="32"/>
        </w:rPr>
        <w:t>与</w:t>
      </w:r>
      <w:r>
        <w:rPr>
          <w:rFonts w:hint="eastAsia" w:hAnsi="仿宋"/>
          <w:sz w:val="32"/>
          <w:szCs w:val="32"/>
        </w:rPr>
        <w:t>相关现货清算成员</w:t>
      </w:r>
      <w:r>
        <w:rPr>
          <w:rFonts w:hAnsi="仿宋"/>
          <w:sz w:val="32"/>
          <w:szCs w:val="32"/>
        </w:rPr>
        <w:t>之间的信息中转</w:t>
      </w:r>
      <w:r>
        <w:rPr>
          <w:rFonts w:hint="eastAsia" w:hAnsi="仿宋"/>
          <w:sz w:val="32"/>
          <w:szCs w:val="32"/>
        </w:rPr>
        <w:t>职责。现货</w:t>
      </w:r>
      <w:r>
        <w:rPr>
          <w:rFonts w:hAnsi="仿宋"/>
          <w:sz w:val="32"/>
          <w:szCs w:val="32"/>
        </w:rPr>
        <w:t>清算</w:t>
      </w:r>
      <w:r>
        <w:rPr>
          <w:rFonts w:hint="eastAsia" w:hAnsi="仿宋"/>
          <w:sz w:val="32"/>
          <w:szCs w:val="32"/>
        </w:rPr>
        <w:t>成员</w:t>
      </w:r>
      <w:r>
        <w:rPr>
          <w:rFonts w:hAnsi="仿宋"/>
          <w:sz w:val="32"/>
          <w:szCs w:val="32"/>
        </w:rPr>
        <w:t>通过</w:t>
      </w:r>
      <w:r>
        <w:rPr>
          <w:rFonts w:hint="eastAsia" w:hAnsi="仿宋"/>
          <w:sz w:val="32"/>
          <w:szCs w:val="32"/>
        </w:rPr>
        <w:t>集中</w:t>
      </w:r>
      <w:r>
        <w:rPr>
          <w:rFonts w:hAnsi="仿宋"/>
          <w:sz w:val="32"/>
          <w:szCs w:val="32"/>
        </w:rPr>
        <w:t>接入机构间接接入上海清算所业务系统</w:t>
      </w:r>
      <w:r>
        <w:rPr>
          <w:rFonts w:hint="eastAsia" w:hAnsi="仿宋"/>
          <w:sz w:val="32"/>
          <w:szCs w:val="32"/>
        </w:rPr>
        <w:t>的</w:t>
      </w:r>
      <w:r>
        <w:rPr>
          <w:rFonts w:hAnsi="仿宋"/>
          <w:sz w:val="32"/>
          <w:szCs w:val="32"/>
        </w:rPr>
        <w:t>，</w:t>
      </w:r>
      <w:r>
        <w:rPr>
          <w:rFonts w:hint="eastAsia" w:hAnsi="仿宋"/>
          <w:sz w:val="32"/>
          <w:szCs w:val="32"/>
        </w:rPr>
        <w:t>同样适用</w:t>
      </w:r>
      <w:r>
        <w:rPr>
          <w:rFonts w:hAnsi="仿宋"/>
          <w:sz w:val="32"/>
          <w:szCs w:val="32"/>
        </w:rPr>
        <w:t>于</w:t>
      </w:r>
      <w:r>
        <w:rPr>
          <w:rFonts w:hint="eastAsia" w:hAnsi="仿宋"/>
          <w:sz w:val="32"/>
          <w:szCs w:val="32"/>
        </w:rPr>
        <w:t>第四章和</w:t>
      </w:r>
      <w:r>
        <w:rPr>
          <w:rFonts w:hAnsi="仿宋"/>
          <w:sz w:val="32"/>
          <w:szCs w:val="32"/>
        </w:rPr>
        <w:t>第五章所述</w:t>
      </w:r>
      <w:r>
        <w:rPr>
          <w:rFonts w:hint="eastAsia" w:hAnsi="仿宋"/>
          <w:sz w:val="32"/>
          <w:szCs w:val="32"/>
        </w:rPr>
        <w:t>的业务</w:t>
      </w:r>
      <w:r>
        <w:rPr>
          <w:rFonts w:hAnsi="仿宋"/>
          <w:sz w:val="32"/>
          <w:szCs w:val="32"/>
        </w:rPr>
        <w:t>流程</w:t>
      </w:r>
      <w:r>
        <w:rPr>
          <w:rFonts w:hint="eastAsia" w:hAnsi="仿宋"/>
          <w:sz w:val="32"/>
          <w:szCs w:val="32"/>
        </w:rPr>
        <w:t>。</w:t>
      </w:r>
    </w:p>
    <w:p>
      <w:pPr>
        <w:pStyle w:val="36"/>
        <w:numPr>
          <w:ilvl w:val="0"/>
          <w:numId w:val="3"/>
        </w:numPr>
        <w:spacing w:line="580" w:lineRule="exact"/>
        <w:ind w:firstLine="640" w:firstLineChars="200"/>
        <w:jc w:val="both"/>
        <w:rPr>
          <w:rFonts w:hAnsi="仿宋"/>
          <w:sz w:val="32"/>
          <w:szCs w:val="32"/>
        </w:rPr>
      </w:pPr>
      <w:r>
        <w:rPr>
          <w:rFonts w:hint="eastAsia" w:hAnsi="仿宋"/>
          <w:sz w:val="32"/>
          <w:szCs w:val="32"/>
        </w:rPr>
        <w:t>集中接入机构</w:t>
      </w:r>
      <w:r>
        <w:rPr>
          <w:rFonts w:hAnsi="仿宋"/>
          <w:sz w:val="32"/>
          <w:szCs w:val="32"/>
        </w:rPr>
        <w:t>应及时完成本业务开展前的准备工作</w:t>
      </w:r>
      <w:r>
        <w:rPr>
          <w:rFonts w:hint="eastAsia" w:hAnsi="仿宋"/>
          <w:sz w:val="32"/>
          <w:szCs w:val="32"/>
        </w:rPr>
        <w:t>，</w:t>
      </w:r>
      <w:r>
        <w:rPr>
          <w:rFonts w:hAnsi="仿宋"/>
          <w:sz w:val="32"/>
          <w:szCs w:val="32"/>
        </w:rPr>
        <w:t>完成其内部业务系统的开发以及与上海清算所业务系统联网、联测工作</w:t>
      </w:r>
      <w:r>
        <w:rPr>
          <w:rFonts w:hint="eastAsia" w:hAnsi="仿宋"/>
          <w:sz w:val="32"/>
          <w:szCs w:val="32"/>
        </w:rPr>
        <w:t>，并根据上海清算所应急安排制定相应的应急制度或措施。</w:t>
      </w:r>
    </w:p>
    <w:p>
      <w:pPr>
        <w:pStyle w:val="36"/>
        <w:numPr>
          <w:ilvl w:val="0"/>
          <w:numId w:val="3"/>
        </w:numPr>
        <w:spacing w:line="580" w:lineRule="exact"/>
        <w:jc w:val="both"/>
        <w:rPr>
          <w:rFonts w:hAnsi="仿宋"/>
          <w:sz w:val="32"/>
          <w:szCs w:val="32"/>
        </w:rPr>
      </w:pPr>
      <w:r>
        <w:rPr>
          <w:rFonts w:hint="eastAsia" w:hAnsi="仿宋"/>
          <w:sz w:val="32"/>
          <w:szCs w:val="32"/>
        </w:rPr>
        <w:t>集中</w:t>
      </w:r>
      <w:r>
        <w:rPr>
          <w:rFonts w:hAnsi="仿宋"/>
          <w:sz w:val="32"/>
          <w:szCs w:val="32"/>
        </w:rPr>
        <w:t>接入机构应对其转发信息的真实性</w:t>
      </w:r>
      <w:r>
        <w:rPr>
          <w:rFonts w:hint="eastAsia" w:hAnsi="仿宋"/>
          <w:sz w:val="32"/>
          <w:szCs w:val="32"/>
        </w:rPr>
        <w:t>、准确性、合法性、</w:t>
      </w:r>
      <w:r>
        <w:rPr>
          <w:rFonts w:hAnsi="仿宋"/>
          <w:sz w:val="32"/>
          <w:szCs w:val="32"/>
        </w:rPr>
        <w:t>有效性</w:t>
      </w:r>
      <w:r>
        <w:rPr>
          <w:rFonts w:hint="eastAsia" w:hAnsi="仿宋"/>
          <w:sz w:val="32"/>
          <w:szCs w:val="32"/>
        </w:rPr>
        <w:t>、</w:t>
      </w:r>
      <w:r>
        <w:rPr>
          <w:rFonts w:hAnsi="仿宋"/>
          <w:sz w:val="32"/>
          <w:szCs w:val="32"/>
        </w:rPr>
        <w:t>完整性</w:t>
      </w:r>
      <w:r>
        <w:rPr>
          <w:rFonts w:hint="eastAsia" w:hAnsi="仿宋"/>
          <w:sz w:val="32"/>
          <w:szCs w:val="32"/>
        </w:rPr>
        <w:t>、</w:t>
      </w:r>
      <w:r>
        <w:rPr>
          <w:rFonts w:hAnsi="仿宋"/>
          <w:sz w:val="32"/>
          <w:szCs w:val="32"/>
        </w:rPr>
        <w:t>及时性负责</w:t>
      </w:r>
      <w:r>
        <w:rPr>
          <w:rFonts w:hint="eastAsia" w:hAnsi="仿宋"/>
          <w:sz w:val="32"/>
          <w:szCs w:val="32"/>
        </w:rPr>
        <w:t>。集中接入机构转发的信息与实际不符的，由此</w:t>
      </w:r>
      <w:r>
        <w:rPr>
          <w:rFonts w:hAnsi="仿宋"/>
          <w:sz w:val="32"/>
          <w:szCs w:val="32"/>
        </w:rPr>
        <w:t>造成的损失</w:t>
      </w:r>
      <w:r>
        <w:rPr>
          <w:rFonts w:hint="eastAsia" w:hAnsi="仿宋"/>
          <w:sz w:val="32"/>
          <w:szCs w:val="32"/>
        </w:rPr>
        <w:t>由集中接入机构承担责任。</w:t>
      </w:r>
    </w:p>
    <w:p>
      <w:pPr>
        <w:pStyle w:val="36"/>
        <w:numPr>
          <w:ilvl w:val="0"/>
          <w:numId w:val="3"/>
        </w:numPr>
        <w:spacing w:line="580" w:lineRule="exact"/>
        <w:ind w:firstLine="600"/>
        <w:jc w:val="both"/>
        <w:rPr>
          <w:rFonts w:hAnsi="仿宋"/>
          <w:sz w:val="32"/>
          <w:szCs w:val="32"/>
        </w:rPr>
      </w:pPr>
      <w:r>
        <w:rPr>
          <w:rFonts w:hint="eastAsia" w:hAnsi="仿宋"/>
          <w:sz w:val="32"/>
          <w:szCs w:val="32"/>
        </w:rPr>
        <w:t>集中接入</w:t>
      </w:r>
      <w:r>
        <w:rPr>
          <w:rFonts w:hAnsi="仿宋"/>
          <w:sz w:val="32"/>
          <w:szCs w:val="32"/>
        </w:rPr>
        <w:t>机构</w:t>
      </w:r>
      <w:r>
        <w:rPr>
          <w:rFonts w:hint="eastAsia" w:hAnsi="仿宋"/>
          <w:sz w:val="32"/>
          <w:szCs w:val="32"/>
        </w:rPr>
        <w:t>在为</w:t>
      </w:r>
      <w:r>
        <w:rPr>
          <w:rFonts w:hAnsi="仿宋"/>
          <w:sz w:val="32"/>
          <w:szCs w:val="32"/>
        </w:rPr>
        <w:t>相关现货清算成员</w:t>
      </w:r>
      <w:r>
        <w:rPr>
          <w:rFonts w:hint="eastAsia" w:hAnsi="仿宋"/>
          <w:sz w:val="32"/>
          <w:szCs w:val="32"/>
        </w:rPr>
        <w:t>提供</w:t>
      </w:r>
      <w:r>
        <w:rPr>
          <w:rFonts w:hAnsi="仿宋"/>
          <w:sz w:val="32"/>
          <w:szCs w:val="32"/>
        </w:rPr>
        <w:t>服务前</w:t>
      </w:r>
      <w:r>
        <w:rPr>
          <w:rFonts w:hint="eastAsia" w:hAnsi="仿宋"/>
          <w:sz w:val="32"/>
          <w:szCs w:val="32"/>
        </w:rPr>
        <w:t>，应与其签订协议，明确双方权利和义务。前述协议的蓝本应遵循上海清算所相关规定并在上海清算所备案，如发生变更且影响上海清算所权益的，需在变更后的十个工作日内</w:t>
      </w:r>
      <w:r>
        <w:rPr>
          <w:rFonts w:hAnsi="仿宋"/>
          <w:sz w:val="32"/>
          <w:szCs w:val="32"/>
        </w:rPr>
        <w:t>向上海清算所</w:t>
      </w:r>
      <w:r>
        <w:rPr>
          <w:rFonts w:hint="eastAsia" w:hAnsi="仿宋"/>
          <w:sz w:val="32"/>
          <w:szCs w:val="32"/>
        </w:rPr>
        <w:t>重新备案。</w:t>
      </w:r>
    </w:p>
    <w:p>
      <w:pPr>
        <w:pStyle w:val="36"/>
        <w:numPr>
          <w:ilvl w:val="0"/>
          <w:numId w:val="3"/>
        </w:numPr>
        <w:spacing w:line="580" w:lineRule="exact"/>
        <w:jc w:val="both"/>
        <w:rPr>
          <w:rFonts w:hAnsi="仿宋"/>
          <w:sz w:val="32"/>
          <w:szCs w:val="32"/>
        </w:rPr>
      </w:pPr>
      <w:r>
        <w:rPr>
          <w:rFonts w:hint="eastAsia" w:hAnsi="仿宋"/>
          <w:sz w:val="32"/>
          <w:szCs w:val="32"/>
        </w:rPr>
        <w:t>现货清算成员基于本业务为交易商提供供应链金融等创新金融服务的，应遵守相关法律、法规、部门规章及规范性文件。上海清算所根据相关方要求，为其提供有偿的信息转发服务，</w:t>
      </w:r>
      <w:r>
        <w:rPr>
          <w:rFonts w:hint="eastAsia" w:hAnsi="仿宋" w:cs="仿宋_GB2312"/>
          <w:sz w:val="32"/>
          <w:szCs w:val="32"/>
        </w:rPr>
        <w:t>包括但不限于融资授信申请及结果、融资交割申请及结果、历史交易数据及仓储信息、仓单冻结及质押通知、仓单登记质押结果通知、还款完成通知、仓单解冻及解质押通知、仓单涂销质押结果通知、仓单再挂售申请及结果、处置流程启动指令、风险解除通知、文件上传通知及审核结果。对于</w:t>
      </w:r>
      <w:r>
        <w:rPr>
          <w:rFonts w:hint="eastAsia" w:hAnsi="仿宋"/>
          <w:sz w:val="32"/>
          <w:szCs w:val="32"/>
        </w:rPr>
        <w:t>参与各方因供应链金融等创新金融服务本身所引起或与之相关的任何争议或纠纷，上海清算所不承担任何责任，由相关争议或纠纷方自行解决。</w:t>
      </w:r>
    </w:p>
    <w:p>
      <w:pPr>
        <w:pStyle w:val="36"/>
        <w:numPr>
          <w:ilvl w:val="0"/>
          <w:numId w:val="3"/>
        </w:numPr>
        <w:spacing w:line="580" w:lineRule="exact"/>
        <w:jc w:val="both"/>
        <w:rPr>
          <w:rFonts w:hAnsi="仿宋"/>
          <w:sz w:val="32"/>
          <w:szCs w:val="32"/>
        </w:rPr>
      </w:pPr>
      <w:r>
        <w:rPr>
          <w:rFonts w:hint="eastAsia" w:hAnsi="仿宋"/>
          <w:sz w:val="32"/>
          <w:szCs w:val="32"/>
        </w:rPr>
        <w:t>现货清算成员应严格履行反洗钱、反恐融资和反逃税的责任和义务，对其服务的交易商进行必要的适当性审核。</w:t>
      </w:r>
    </w:p>
    <w:p>
      <w:pPr>
        <w:pStyle w:val="36"/>
        <w:numPr>
          <w:ilvl w:val="0"/>
          <w:numId w:val="3"/>
        </w:numPr>
        <w:spacing w:line="580" w:lineRule="exact"/>
        <w:jc w:val="both"/>
        <w:rPr>
          <w:rFonts w:hAnsi="仿宋"/>
          <w:sz w:val="32"/>
          <w:szCs w:val="32"/>
        </w:rPr>
      </w:pPr>
      <w:r>
        <w:rPr>
          <w:rFonts w:hint="eastAsia" w:hAnsi="仿宋"/>
          <w:sz w:val="32"/>
          <w:szCs w:val="32"/>
        </w:rPr>
        <w:t>现货清算成员</w:t>
      </w:r>
      <w:r>
        <w:rPr>
          <w:rFonts w:hAnsi="仿宋"/>
          <w:sz w:val="32"/>
          <w:szCs w:val="32"/>
        </w:rPr>
        <w:t>为交易商提供</w:t>
      </w:r>
      <w:r>
        <w:rPr>
          <w:rFonts w:hint="eastAsia" w:hAnsi="仿宋"/>
          <w:sz w:val="32"/>
          <w:szCs w:val="32"/>
        </w:rPr>
        <w:t>资金</w:t>
      </w:r>
      <w:r>
        <w:rPr>
          <w:rFonts w:hAnsi="仿宋"/>
          <w:sz w:val="32"/>
          <w:szCs w:val="32"/>
        </w:rPr>
        <w:t>结算服务前，</w:t>
      </w:r>
      <w:r>
        <w:rPr>
          <w:rFonts w:hint="eastAsia" w:hAnsi="仿宋"/>
          <w:sz w:val="32"/>
          <w:szCs w:val="32"/>
        </w:rPr>
        <w:t>应与其签订协议，明确双方权利和义务。前述协议应遵循上海清算所相关规定并在上海清算所备案，如发生变更且影响上海清算所权益的，需在变更后的十个工作日内</w:t>
      </w:r>
      <w:r>
        <w:rPr>
          <w:rFonts w:hAnsi="仿宋"/>
          <w:sz w:val="32"/>
          <w:szCs w:val="32"/>
        </w:rPr>
        <w:t>向上海清算所</w:t>
      </w:r>
      <w:r>
        <w:rPr>
          <w:rFonts w:hint="eastAsia" w:hAnsi="仿宋"/>
          <w:sz w:val="32"/>
          <w:szCs w:val="32"/>
        </w:rPr>
        <w:t>重新备案。现货清算成员与交易商解除协议的，应书面告知上海清算所。</w:t>
      </w:r>
    </w:p>
    <w:p>
      <w:pPr>
        <w:pStyle w:val="36"/>
        <w:numPr>
          <w:ilvl w:val="0"/>
          <w:numId w:val="3"/>
        </w:numPr>
        <w:spacing w:line="580" w:lineRule="exact"/>
        <w:jc w:val="both"/>
        <w:rPr>
          <w:rFonts w:hAnsi="仿宋"/>
          <w:sz w:val="32"/>
          <w:szCs w:val="32"/>
        </w:rPr>
      </w:pPr>
      <w:r>
        <w:rPr>
          <w:rFonts w:hint="eastAsia" w:hAnsi="仿宋"/>
          <w:sz w:val="32"/>
          <w:szCs w:val="32"/>
        </w:rPr>
        <w:t>现货清算成员为交易商开立资金结算账户，用于存放交易商交纳的交易保证金、</w:t>
      </w:r>
      <w:r>
        <w:rPr>
          <w:rFonts w:hAnsi="仿宋"/>
          <w:sz w:val="32"/>
          <w:szCs w:val="32"/>
        </w:rPr>
        <w:t>交收定金</w:t>
      </w:r>
      <w:r>
        <w:rPr>
          <w:rFonts w:hint="eastAsia" w:hAnsi="仿宋"/>
          <w:sz w:val="32"/>
          <w:szCs w:val="32"/>
        </w:rPr>
        <w:t>、结算资金及相关款项，并通过该账户与其进行交易保证金、交收定金</w:t>
      </w:r>
      <w:r>
        <w:rPr>
          <w:rFonts w:hAnsi="仿宋"/>
          <w:sz w:val="32"/>
          <w:szCs w:val="32"/>
        </w:rPr>
        <w:t>、</w:t>
      </w:r>
      <w:r>
        <w:rPr>
          <w:rFonts w:hint="eastAsia" w:hAnsi="仿宋"/>
          <w:sz w:val="32"/>
          <w:szCs w:val="32"/>
        </w:rPr>
        <w:t>结算资金</w:t>
      </w:r>
      <w:r>
        <w:rPr>
          <w:rFonts w:hAnsi="仿宋"/>
          <w:sz w:val="32"/>
          <w:szCs w:val="32"/>
        </w:rPr>
        <w:t>、</w:t>
      </w:r>
      <w:r>
        <w:rPr>
          <w:rFonts w:hint="eastAsia" w:hAnsi="仿宋"/>
          <w:sz w:val="32"/>
          <w:szCs w:val="32"/>
        </w:rPr>
        <w:t>费用及相关款项的结算。</w:t>
      </w:r>
    </w:p>
    <w:p>
      <w:pPr>
        <w:pStyle w:val="36"/>
        <w:numPr>
          <w:ilvl w:val="0"/>
          <w:numId w:val="3"/>
        </w:numPr>
        <w:spacing w:line="580" w:lineRule="exact"/>
        <w:jc w:val="both"/>
        <w:rPr>
          <w:rFonts w:hAnsi="仿宋"/>
          <w:sz w:val="32"/>
          <w:szCs w:val="32"/>
        </w:rPr>
      </w:pPr>
      <w:r>
        <w:rPr>
          <w:rFonts w:hint="eastAsia" w:hAnsi="仿宋"/>
          <w:sz w:val="32"/>
          <w:szCs w:val="32"/>
        </w:rPr>
        <w:t>现货清算成员有权向交易商收取相关费用。</w:t>
      </w:r>
    </w:p>
    <w:p>
      <w:pPr>
        <w:pStyle w:val="36"/>
        <w:numPr>
          <w:ilvl w:val="0"/>
          <w:numId w:val="3"/>
        </w:numPr>
        <w:spacing w:line="580" w:lineRule="exact"/>
        <w:jc w:val="both"/>
        <w:rPr>
          <w:rFonts w:hAnsi="仿宋"/>
          <w:sz w:val="32"/>
          <w:szCs w:val="32"/>
        </w:rPr>
      </w:pPr>
      <w:r>
        <w:rPr>
          <w:rFonts w:hAnsi="仿宋"/>
          <w:sz w:val="32"/>
          <w:szCs w:val="32"/>
        </w:rPr>
        <w:t>现货清算成员如发生机构本身或其</w:t>
      </w:r>
      <w:r>
        <w:rPr>
          <w:rFonts w:hint="eastAsia" w:hAnsi="仿宋"/>
          <w:sz w:val="32"/>
          <w:szCs w:val="32"/>
        </w:rPr>
        <w:t>业务</w:t>
      </w:r>
      <w:r>
        <w:rPr>
          <w:rFonts w:hAnsi="仿宋"/>
          <w:sz w:val="32"/>
          <w:szCs w:val="32"/>
        </w:rPr>
        <w:t>资格相关信息变更的，需向上海清算所</w:t>
      </w:r>
      <w:r>
        <w:rPr>
          <w:rFonts w:hint="eastAsia" w:hAnsi="仿宋"/>
          <w:sz w:val="32"/>
          <w:szCs w:val="32"/>
        </w:rPr>
        <w:t>报备</w:t>
      </w:r>
      <w:r>
        <w:rPr>
          <w:rFonts w:hAnsi="仿宋"/>
          <w:sz w:val="32"/>
          <w:szCs w:val="32"/>
        </w:rPr>
        <w:t>，包括但不限于：</w:t>
      </w:r>
    </w:p>
    <w:p>
      <w:pPr>
        <w:spacing w:line="580" w:lineRule="exact"/>
        <w:ind w:left="-141" w:leftChars="-67" w:firstLine="640" w:firstLineChars="200"/>
        <w:rPr>
          <w:rFonts w:ascii="仿宋" w:hAnsi="仿宋" w:eastAsia="仿宋"/>
          <w:sz w:val="32"/>
          <w:szCs w:val="32"/>
        </w:rPr>
      </w:pPr>
      <w:r>
        <w:rPr>
          <w:rFonts w:hint="eastAsia" w:ascii="仿宋" w:hAnsi="仿宋" w:eastAsia="仿宋"/>
          <w:kern w:val="0"/>
          <w:sz w:val="32"/>
          <w:szCs w:val="32"/>
        </w:rPr>
        <w:t>（一</w:t>
      </w:r>
      <w:r>
        <w:rPr>
          <w:rFonts w:ascii="仿宋" w:hAnsi="仿宋" w:eastAsia="仿宋"/>
          <w:kern w:val="0"/>
          <w:sz w:val="32"/>
          <w:szCs w:val="32"/>
        </w:rPr>
        <w:t>）现货清算成员发生机构</w:t>
      </w:r>
      <w:r>
        <w:rPr>
          <w:rFonts w:hint="eastAsia" w:ascii="仿宋" w:hAnsi="仿宋" w:eastAsia="仿宋"/>
          <w:kern w:val="0"/>
          <w:sz w:val="32"/>
          <w:szCs w:val="32"/>
        </w:rPr>
        <w:t>法定代表人</w:t>
      </w:r>
      <w:r>
        <w:rPr>
          <w:rFonts w:ascii="仿宋" w:hAnsi="仿宋" w:eastAsia="仿宋"/>
          <w:kern w:val="0"/>
          <w:sz w:val="32"/>
          <w:szCs w:val="32"/>
        </w:rPr>
        <w:t>、股东、注册资金、清算员等基本信息或业务信息变更的，需在信息变更后的</w:t>
      </w:r>
      <w:r>
        <w:rPr>
          <w:rFonts w:hint="eastAsia" w:ascii="仿宋" w:hAnsi="仿宋" w:eastAsia="仿宋"/>
          <w:kern w:val="0"/>
          <w:sz w:val="32"/>
          <w:szCs w:val="32"/>
        </w:rPr>
        <w:t>十个工作日</w:t>
      </w:r>
      <w:r>
        <w:rPr>
          <w:rFonts w:ascii="仿宋" w:hAnsi="仿宋" w:eastAsia="仿宋"/>
          <w:kern w:val="0"/>
          <w:sz w:val="32"/>
          <w:szCs w:val="32"/>
        </w:rPr>
        <w:t>内向上海清算所进行报备，提交</w:t>
      </w:r>
      <w:r>
        <w:rPr>
          <w:rFonts w:hint="eastAsia" w:ascii="仿宋" w:hAnsi="仿宋" w:eastAsia="仿宋"/>
          <w:kern w:val="0"/>
          <w:sz w:val="32"/>
          <w:szCs w:val="32"/>
        </w:rPr>
        <w:t>《大宗商品现货清算业务机构</w:t>
      </w:r>
      <w:r>
        <w:rPr>
          <w:rFonts w:ascii="仿宋" w:hAnsi="仿宋" w:eastAsia="仿宋"/>
          <w:kern w:val="0"/>
          <w:sz w:val="32"/>
          <w:szCs w:val="32"/>
        </w:rPr>
        <w:t>信息变更报备单</w:t>
      </w:r>
      <w:r>
        <w:rPr>
          <w:rFonts w:hint="eastAsia" w:ascii="仿宋" w:hAnsi="仿宋" w:eastAsia="仿宋"/>
          <w:kern w:val="0"/>
          <w:sz w:val="32"/>
          <w:szCs w:val="32"/>
        </w:rPr>
        <w:t>》</w:t>
      </w:r>
      <w:r>
        <w:rPr>
          <w:rFonts w:ascii="仿宋" w:hAnsi="仿宋" w:eastAsia="仿宋"/>
          <w:kern w:val="0"/>
          <w:sz w:val="32"/>
          <w:szCs w:val="32"/>
        </w:rPr>
        <w:t>及相关资料</w:t>
      </w:r>
      <w:r>
        <w:rPr>
          <w:rFonts w:hint="eastAsia" w:ascii="仿宋" w:hAnsi="仿宋" w:eastAsia="仿宋"/>
          <w:kern w:val="0"/>
          <w:sz w:val="32"/>
          <w:szCs w:val="32"/>
        </w:rPr>
        <w:t>。</w:t>
      </w:r>
    </w:p>
    <w:p>
      <w:pPr>
        <w:spacing w:line="580" w:lineRule="exact"/>
        <w:ind w:left="-141" w:leftChars="-67"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）现货清算成员发生重大资质变更</w:t>
      </w:r>
      <w:r>
        <w:rPr>
          <w:rFonts w:hint="eastAsia" w:ascii="仿宋" w:hAnsi="仿宋" w:eastAsia="仿宋"/>
          <w:sz w:val="32"/>
          <w:szCs w:val="32"/>
        </w:rPr>
        <w:t>（</w:t>
      </w:r>
      <w:r>
        <w:rPr>
          <w:rFonts w:ascii="仿宋" w:hAnsi="仿宋" w:eastAsia="仿宋"/>
          <w:sz w:val="32"/>
          <w:szCs w:val="32"/>
        </w:rPr>
        <w:t>如机构改制、重组、分立、合并等</w:t>
      </w:r>
      <w:r>
        <w:rPr>
          <w:rFonts w:hint="eastAsia" w:ascii="仿宋" w:hAnsi="仿宋" w:eastAsia="仿宋"/>
          <w:sz w:val="32"/>
          <w:szCs w:val="32"/>
        </w:rPr>
        <w:t>）或</w:t>
      </w:r>
      <w:r>
        <w:rPr>
          <w:rFonts w:ascii="仿宋" w:hAnsi="仿宋" w:eastAsia="仿宋"/>
          <w:sz w:val="32"/>
          <w:szCs w:val="32"/>
        </w:rPr>
        <w:t>与</w:t>
      </w:r>
      <w:r>
        <w:rPr>
          <w:rFonts w:hint="eastAsia" w:ascii="仿宋" w:hAnsi="仿宋" w:eastAsia="仿宋"/>
          <w:sz w:val="32"/>
          <w:szCs w:val="32"/>
        </w:rPr>
        <w:t>本业务</w:t>
      </w:r>
      <w:r>
        <w:rPr>
          <w:rFonts w:ascii="仿宋" w:hAnsi="仿宋" w:eastAsia="仿宋"/>
          <w:sz w:val="32"/>
          <w:szCs w:val="32"/>
        </w:rPr>
        <w:t>相关的</w:t>
      </w:r>
      <w:r>
        <w:rPr>
          <w:rFonts w:hint="eastAsia" w:ascii="仿宋" w:hAnsi="仿宋" w:eastAsia="仿宋"/>
          <w:sz w:val="32"/>
          <w:szCs w:val="32"/>
        </w:rPr>
        <w:t>事件（</w:t>
      </w:r>
      <w:r>
        <w:rPr>
          <w:rFonts w:ascii="仿宋" w:hAnsi="仿宋" w:eastAsia="仿宋"/>
          <w:sz w:val="32"/>
          <w:szCs w:val="32"/>
        </w:rPr>
        <w:t>如法律纠纷、商业</w:t>
      </w:r>
      <w:r>
        <w:rPr>
          <w:rFonts w:hint="eastAsia" w:ascii="仿宋" w:hAnsi="仿宋" w:eastAsia="仿宋"/>
          <w:sz w:val="32"/>
          <w:szCs w:val="32"/>
        </w:rPr>
        <w:t>纠纷</w:t>
      </w:r>
      <w:r>
        <w:rPr>
          <w:rFonts w:ascii="仿宋" w:hAnsi="仿宋" w:eastAsia="仿宋"/>
          <w:sz w:val="32"/>
          <w:szCs w:val="32"/>
        </w:rPr>
        <w:t>、行政处罚等</w:t>
      </w:r>
      <w:r>
        <w:rPr>
          <w:rFonts w:hint="eastAsia" w:ascii="仿宋" w:hAnsi="仿宋" w:eastAsia="仿宋"/>
          <w:sz w:val="32"/>
          <w:szCs w:val="32"/>
        </w:rPr>
        <w:t>）的</w:t>
      </w:r>
      <w:r>
        <w:rPr>
          <w:rFonts w:ascii="仿宋" w:hAnsi="仿宋" w:eastAsia="仿宋"/>
          <w:sz w:val="32"/>
          <w:szCs w:val="32"/>
        </w:rPr>
        <w:t>，现货清算成员需及时向上海清算所进行报备。</w:t>
      </w:r>
    </w:p>
    <w:p>
      <w:pPr>
        <w:pStyle w:val="36"/>
        <w:numPr>
          <w:ilvl w:val="0"/>
          <w:numId w:val="3"/>
        </w:numPr>
        <w:spacing w:line="580" w:lineRule="exact"/>
        <w:jc w:val="both"/>
        <w:rPr>
          <w:rFonts w:hAnsi="仿宋"/>
          <w:sz w:val="32"/>
          <w:szCs w:val="32"/>
        </w:rPr>
      </w:pPr>
      <w:r>
        <w:rPr>
          <w:rFonts w:hAnsi="仿宋"/>
          <w:sz w:val="32"/>
          <w:szCs w:val="32"/>
        </w:rPr>
        <w:t>现货清算成员申请终止</w:t>
      </w:r>
      <w:r>
        <w:rPr>
          <w:rFonts w:hint="eastAsia" w:hAnsi="仿宋"/>
          <w:sz w:val="32"/>
          <w:szCs w:val="32"/>
        </w:rPr>
        <w:t>业务</w:t>
      </w:r>
      <w:r>
        <w:rPr>
          <w:rFonts w:hAnsi="仿宋"/>
          <w:sz w:val="32"/>
          <w:szCs w:val="32"/>
        </w:rPr>
        <w:t>资格的，需向上海清算所提交</w:t>
      </w:r>
      <w:r>
        <w:rPr>
          <w:rFonts w:hint="eastAsia" w:hAnsi="仿宋"/>
          <w:sz w:val="32"/>
          <w:szCs w:val="32"/>
        </w:rPr>
        <w:t>《大宗商品现货清算业务现货清算成员资格</w:t>
      </w:r>
      <w:r>
        <w:rPr>
          <w:rFonts w:hAnsi="仿宋"/>
          <w:sz w:val="32"/>
          <w:szCs w:val="32"/>
        </w:rPr>
        <w:t>终止申请表</w:t>
      </w:r>
      <w:r>
        <w:rPr>
          <w:rFonts w:hint="eastAsia" w:hAnsi="仿宋"/>
          <w:sz w:val="32"/>
          <w:szCs w:val="32"/>
        </w:rPr>
        <w:t>》</w:t>
      </w:r>
      <w:r>
        <w:rPr>
          <w:rFonts w:hAnsi="仿宋"/>
          <w:sz w:val="32"/>
          <w:szCs w:val="32"/>
        </w:rPr>
        <w:t>（附12）</w:t>
      </w:r>
      <w:r>
        <w:rPr>
          <w:rFonts w:hint="eastAsia" w:hAnsi="仿宋"/>
          <w:sz w:val="32"/>
          <w:szCs w:val="32"/>
        </w:rPr>
        <w:t>。</w:t>
      </w:r>
    </w:p>
    <w:p>
      <w:pPr>
        <w:spacing w:line="580" w:lineRule="exact"/>
        <w:ind w:left="-141" w:leftChars="-67" w:firstLine="640" w:firstLineChars="200"/>
        <w:rPr>
          <w:rFonts w:ascii="仿宋" w:hAnsi="仿宋" w:eastAsia="仿宋"/>
          <w:sz w:val="32"/>
          <w:szCs w:val="32"/>
        </w:rPr>
      </w:pPr>
      <w:r>
        <w:rPr>
          <w:rFonts w:hint="eastAsia" w:ascii="仿宋" w:hAnsi="仿宋" w:eastAsia="仿宋"/>
          <w:sz w:val="32"/>
          <w:szCs w:val="32"/>
        </w:rPr>
        <w:t>上海清算所收到终止申请表并审核无误，在与现货清算成员结清</w:t>
      </w:r>
      <w:r>
        <w:rPr>
          <w:rFonts w:ascii="仿宋" w:hAnsi="仿宋" w:eastAsia="仿宋"/>
          <w:sz w:val="32"/>
          <w:szCs w:val="32"/>
        </w:rPr>
        <w:t>债权债务</w:t>
      </w:r>
      <w:r>
        <w:rPr>
          <w:rFonts w:hint="eastAsia" w:ascii="仿宋" w:hAnsi="仿宋" w:eastAsia="仿宋"/>
          <w:sz w:val="32"/>
          <w:szCs w:val="32"/>
        </w:rPr>
        <w:t>后</w:t>
      </w:r>
      <w:r>
        <w:rPr>
          <w:rFonts w:ascii="仿宋" w:hAnsi="仿宋" w:eastAsia="仿宋"/>
          <w:sz w:val="32"/>
          <w:szCs w:val="32"/>
        </w:rPr>
        <w:t>，</w:t>
      </w:r>
      <w:r>
        <w:rPr>
          <w:rFonts w:hint="eastAsia" w:ascii="仿宋" w:hAnsi="仿宋" w:eastAsia="仿宋"/>
          <w:sz w:val="32"/>
          <w:szCs w:val="32"/>
        </w:rPr>
        <w:t>办理注销。自业务资格终止申请提交后</w:t>
      </w:r>
      <w:r>
        <w:rPr>
          <w:rFonts w:ascii="仿宋" w:hAnsi="仿宋" w:eastAsia="仿宋"/>
          <w:sz w:val="32"/>
          <w:szCs w:val="32"/>
        </w:rPr>
        <w:t>，上海清算所不再接收</w:t>
      </w:r>
      <w:r>
        <w:rPr>
          <w:rFonts w:hint="eastAsia" w:ascii="仿宋" w:hAnsi="仿宋" w:eastAsia="仿宋"/>
          <w:sz w:val="32"/>
          <w:szCs w:val="32"/>
        </w:rPr>
        <w:t>该业务</w:t>
      </w:r>
      <w:r>
        <w:rPr>
          <w:rFonts w:ascii="仿宋" w:hAnsi="仿宋" w:eastAsia="仿宋"/>
          <w:sz w:val="32"/>
          <w:szCs w:val="32"/>
        </w:rPr>
        <w:t>中</w:t>
      </w:r>
      <w:r>
        <w:rPr>
          <w:rFonts w:hint="eastAsia" w:ascii="仿宋" w:hAnsi="仿宋" w:eastAsia="仿宋"/>
          <w:sz w:val="32"/>
          <w:szCs w:val="32"/>
        </w:rPr>
        <w:t>相关</w:t>
      </w:r>
      <w:r>
        <w:rPr>
          <w:rFonts w:ascii="仿宋" w:hAnsi="仿宋" w:eastAsia="仿宋"/>
          <w:sz w:val="32"/>
          <w:szCs w:val="32"/>
        </w:rPr>
        <w:t>现货清算成员</w:t>
      </w:r>
      <w:r>
        <w:rPr>
          <w:rFonts w:hint="eastAsia" w:ascii="仿宋" w:hAnsi="仿宋" w:eastAsia="仿宋"/>
          <w:sz w:val="32"/>
          <w:szCs w:val="32"/>
        </w:rPr>
        <w:t>所服务</w:t>
      </w:r>
      <w:r>
        <w:rPr>
          <w:rFonts w:ascii="仿宋" w:hAnsi="仿宋" w:eastAsia="仿宋"/>
          <w:sz w:val="32"/>
          <w:szCs w:val="32"/>
        </w:rPr>
        <w:t>的交易商的交易相关数据。</w:t>
      </w:r>
    </w:p>
    <w:p>
      <w:pPr>
        <w:pStyle w:val="36"/>
        <w:numPr>
          <w:ilvl w:val="0"/>
          <w:numId w:val="3"/>
        </w:numPr>
        <w:spacing w:line="580" w:lineRule="exact"/>
        <w:jc w:val="both"/>
        <w:rPr>
          <w:rFonts w:hAnsi="仿宋"/>
          <w:sz w:val="32"/>
          <w:szCs w:val="32"/>
        </w:rPr>
      </w:pPr>
      <w:r>
        <w:rPr>
          <w:rFonts w:hint="eastAsia" w:hAnsi="仿宋"/>
          <w:sz w:val="32"/>
          <w:szCs w:val="32"/>
        </w:rPr>
        <w:t>现货</w:t>
      </w:r>
      <w:r>
        <w:rPr>
          <w:rFonts w:hAnsi="仿宋"/>
          <w:sz w:val="32"/>
          <w:szCs w:val="32"/>
        </w:rPr>
        <w:t>清算成员终止一项业务资格后，不影响其继续保留其他的业务资格。</w:t>
      </w:r>
      <w:r>
        <w:rPr>
          <w:rFonts w:hint="eastAsia" w:hAnsi="仿宋"/>
          <w:sz w:val="32"/>
          <w:szCs w:val="32"/>
        </w:rPr>
        <w:t>现货清算成员</w:t>
      </w:r>
      <w:r>
        <w:rPr>
          <w:rFonts w:hAnsi="仿宋"/>
          <w:sz w:val="32"/>
          <w:szCs w:val="32"/>
        </w:rPr>
        <w:t>终止</w:t>
      </w:r>
      <w:r>
        <w:rPr>
          <w:rFonts w:hint="eastAsia" w:hAnsi="仿宋"/>
          <w:sz w:val="32"/>
          <w:szCs w:val="32"/>
        </w:rPr>
        <w:t>所有业务</w:t>
      </w:r>
      <w:r>
        <w:rPr>
          <w:rFonts w:hAnsi="仿宋"/>
          <w:sz w:val="32"/>
          <w:szCs w:val="32"/>
        </w:rPr>
        <w:t>资格后，现货清算成员资格终止。</w:t>
      </w:r>
    </w:p>
    <w:p>
      <w:pPr>
        <w:pStyle w:val="36"/>
        <w:numPr>
          <w:ilvl w:val="0"/>
          <w:numId w:val="3"/>
        </w:numPr>
        <w:spacing w:line="580" w:lineRule="exact"/>
        <w:jc w:val="both"/>
        <w:rPr>
          <w:rFonts w:hAnsi="仿宋"/>
          <w:sz w:val="32"/>
          <w:szCs w:val="32"/>
        </w:rPr>
      </w:pPr>
      <w:r>
        <w:rPr>
          <w:rFonts w:hAnsi="仿宋"/>
          <w:sz w:val="32"/>
          <w:szCs w:val="32"/>
        </w:rPr>
        <w:t>现货清算成员如发生评级下调、停业、整顿、接管、解散、清算破产等重大问题的，或严重违反上海清算所</w:t>
      </w:r>
      <w:r>
        <w:rPr>
          <w:rFonts w:hint="eastAsia" w:hAnsi="仿宋"/>
          <w:sz w:val="32"/>
          <w:szCs w:val="32"/>
        </w:rPr>
        <w:t>《</w:t>
      </w:r>
      <w:r>
        <w:rPr>
          <w:rFonts w:hAnsi="仿宋"/>
          <w:sz w:val="32"/>
          <w:szCs w:val="32"/>
        </w:rPr>
        <w:t>业务规则</w:t>
      </w:r>
      <w:r>
        <w:rPr>
          <w:rFonts w:hint="eastAsia" w:hAnsi="仿宋"/>
          <w:sz w:val="32"/>
          <w:szCs w:val="32"/>
        </w:rPr>
        <w:t>》</w:t>
      </w:r>
      <w:r>
        <w:rPr>
          <w:rFonts w:hAnsi="仿宋"/>
          <w:sz w:val="32"/>
          <w:szCs w:val="32"/>
        </w:rPr>
        <w:t>及相关规定的，上海清算所有权终止其</w:t>
      </w:r>
      <w:r>
        <w:rPr>
          <w:rFonts w:hint="eastAsia" w:hAnsi="仿宋"/>
          <w:sz w:val="32"/>
          <w:szCs w:val="32"/>
        </w:rPr>
        <w:t>业务</w:t>
      </w:r>
      <w:r>
        <w:rPr>
          <w:rFonts w:hAnsi="仿宋"/>
          <w:sz w:val="32"/>
          <w:szCs w:val="32"/>
        </w:rPr>
        <w:t>资格</w:t>
      </w:r>
      <w:r>
        <w:rPr>
          <w:rFonts w:hint="eastAsia" w:hAnsi="仿宋"/>
          <w:sz w:val="32"/>
          <w:szCs w:val="32"/>
        </w:rPr>
        <w:t>，</w:t>
      </w:r>
      <w:r>
        <w:rPr>
          <w:rFonts w:hAnsi="仿宋"/>
          <w:sz w:val="32"/>
          <w:szCs w:val="32"/>
        </w:rPr>
        <w:t>办理注销，</w:t>
      </w:r>
      <w:r>
        <w:rPr>
          <w:rFonts w:hint="eastAsia" w:hAnsi="仿宋"/>
          <w:sz w:val="32"/>
          <w:szCs w:val="32"/>
        </w:rPr>
        <w:t>并结清双方</w:t>
      </w:r>
      <w:r>
        <w:rPr>
          <w:rFonts w:hAnsi="仿宋"/>
          <w:sz w:val="32"/>
          <w:szCs w:val="32"/>
        </w:rPr>
        <w:t>的债权债务。</w:t>
      </w:r>
      <w:r>
        <w:rPr>
          <w:rFonts w:hint="eastAsia" w:hAnsi="仿宋"/>
          <w:sz w:val="32"/>
          <w:szCs w:val="32"/>
        </w:rPr>
        <w:t>对未了结的债务，上海清算所有权进行追索。</w:t>
      </w:r>
    </w:p>
    <w:p>
      <w:pPr>
        <w:pStyle w:val="36"/>
        <w:numPr>
          <w:ilvl w:val="0"/>
          <w:numId w:val="3"/>
        </w:numPr>
        <w:spacing w:line="580" w:lineRule="exact"/>
        <w:jc w:val="both"/>
        <w:rPr>
          <w:rFonts w:hAnsi="仿宋"/>
          <w:sz w:val="32"/>
          <w:szCs w:val="32"/>
        </w:rPr>
      </w:pPr>
      <w:r>
        <w:rPr>
          <w:rFonts w:hAnsi="仿宋"/>
          <w:sz w:val="32"/>
          <w:szCs w:val="32"/>
        </w:rPr>
        <w:t>现货清算成员</w:t>
      </w:r>
      <w:r>
        <w:rPr>
          <w:rFonts w:hint="eastAsia" w:hAnsi="仿宋"/>
          <w:sz w:val="32"/>
          <w:szCs w:val="32"/>
        </w:rPr>
        <w:t>业务</w:t>
      </w:r>
      <w:r>
        <w:rPr>
          <w:rFonts w:hAnsi="仿宋"/>
          <w:sz w:val="32"/>
          <w:szCs w:val="32"/>
        </w:rPr>
        <w:t>资格自注销之日起失效。</w:t>
      </w:r>
    </w:p>
    <w:p>
      <w:pPr>
        <w:pStyle w:val="3"/>
        <w:spacing w:line="580" w:lineRule="exact"/>
        <w:rPr>
          <w:rFonts w:ascii="黑体" w:hAnsi="黑体" w:eastAsia="黑体"/>
          <w:b w:val="0"/>
          <w:sz w:val="32"/>
        </w:rPr>
      </w:pPr>
      <w:bookmarkStart w:id="17" w:name="_Toc411849259"/>
      <w:bookmarkEnd w:id="17"/>
      <w:bookmarkStart w:id="18" w:name="_Toc411849261"/>
      <w:bookmarkEnd w:id="18"/>
      <w:bookmarkStart w:id="19" w:name="_Toc411849258"/>
      <w:bookmarkEnd w:id="19"/>
      <w:bookmarkStart w:id="20" w:name="_Toc411849262"/>
      <w:bookmarkEnd w:id="20"/>
      <w:bookmarkStart w:id="21" w:name="_Toc411849260"/>
      <w:bookmarkEnd w:id="21"/>
      <w:bookmarkStart w:id="22" w:name="_Toc41292899"/>
      <w:bookmarkStart w:id="23" w:name="_Toc134628739"/>
      <w:r>
        <w:rPr>
          <w:rFonts w:hint="eastAsia" w:ascii="黑体" w:hAnsi="黑体" w:eastAsia="黑体"/>
          <w:b w:val="0"/>
          <w:sz w:val="32"/>
        </w:rPr>
        <w:t>交易数据处理</w:t>
      </w:r>
      <w:bookmarkEnd w:id="22"/>
      <w:bookmarkEnd w:id="23"/>
      <w:r>
        <w:rPr>
          <w:rFonts w:ascii="黑体" w:hAnsi="黑体" w:eastAsia="黑体"/>
          <w:b w:val="0"/>
          <w:sz w:val="32"/>
        </w:rPr>
        <w:t xml:space="preserve"> </w:t>
      </w:r>
    </w:p>
    <w:p>
      <w:pPr>
        <w:pStyle w:val="40"/>
        <w:numPr>
          <w:ilvl w:val="0"/>
          <w:numId w:val="3"/>
        </w:numPr>
        <w:spacing w:line="580" w:lineRule="exact"/>
        <w:ind w:firstLineChars="0"/>
        <w:rPr>
          <w:rFonts w:ascii="仿宋" w:hAnsi="仿宋" w:eastAsia="仿宋" w:cs="仿宋"/>
          <w:color w:val="000000"/>
          <w:kern w:val="0"/>
          <w:sz w:val="32"/>
          <w:szCs w:val="30"/>
        </w:rPr>
      </w:pPr>
      <w:r>
        <w:rPr>
          <w:rFonts w:hint="eastAsia" w:ascii="仿宋" w:hAnsi="仿宋" w:eastAsia="仿宋" w:cs="仿宋"/>
          <w:color w:val="000000"/>
          <w:kern w:val="0"/>
          <w:sz w:val="32"/>
          <w:szCs w:val="30"/>
        </w:rPr>
        <w:t>本章节仅适用于交易商通过现货平台达成大宗商品现货交易的情形。</w:t>
      </w:r>
    </w:p>
    <w:p>
      <w:pPr>
        <w:pStyle w:val="4"/>
        <w:numPr>
          <w:ilvl w:val="0"/>
          <w:numId w:val="4"/>
        </w:numPr>
        <w:spacing w:line="580" w:lineRule="exact"/>
        <w:ind w:left="0" w:firstLine="0"/>
        <w:rPr>
          <w:sz w:val="32"/>
          <w:szCs w:val="32"/>
        </w:rPr>
      </w:pPr>
      <w:bookmarkStart w:id="24" w:name="_Toc41292900"/>
      <w:bookmarkStart w:id="25" w:name="_Toc134628740"/>
      <w:r>
        <w:rPr>
          <w:rFonts w:hint="eastAsia"/>
          <w:sz w:val="32"/>
          <w:szCs w:val="32"/>
        </w:rPr>
        <w:t>挂单</w:t>
      </w:r>
      <w:r>
        <w:rPr>
          <w:sz w:val="32"/>
          <w:szCs w:val="32"/>
        </w:rPr>
        <w:t>申请</w:t>
      </w:r>
      <w:r>
        <w:rPr>
          <w:rFonts w:hint="eastAsia"/>
          <w:sz w:val="32"/>
          <w:szCs w:val="32"/>
        </w:rPr>
        <w:t>处理</w:t>
      </w:r>
      <w:bookmarkEnd w:id="24"/>
      <w:bookmarkEnd w:id="25"/>
    </w:p>
    <w:p>
      <w:pPr>
        <w:pStyle w:val="36"/>
        <w:numPr>
          <w:ilvl w:val="0"/>
          <w:numId w:val="3"/>
        </w:numPr>
        <w:spacing w:line="580" w:lineRule="exact"/>
        <w:jc w:val="both"/>
        <w:rPr>
          <w:rFonts w:hAnsi="仿宋"/>
          <w:sz w:val="32"/>
          <w:szCs w:val="30"/>
        </w:rPr>
      </w:pPr>
      <w:r>
        <w:rPr>
          <w:rFonts w:hint="eastAsia" w:hAnsi="仿宋"/>
          <w:sz w:val="32"/>
          <w:szCs w:val="30"/>
        </w:rPr>
        <w:t>在工作日规定交易时间内</w:t>
      </w:r>
      <w:r>
        <w:rPr>
          <w:rFonts w:hAnsi="仿宋"/>
          <w:sz w:val="32"/>
          <w:szCs w:val="30"/>
        </w:rPr>
        <w:t>，</w:t>
      </w:r>
      <w:r>
        <w:rPr>
          <w:rFonts w:hint="eastAsia" w:hAnsi="仿宋"/>
          <w:sz w:val="32"/>
          <w:szCs w:val="30"/>
        </w:rPr>
        <w:t>卖方交易商提交</w:t>
      </w:r>
      <w:r>
        <w:rPr>
          <w:rFonts w:hAnsi="仿宋"/>
          <w:sz w:val="32"/>
          <w:szCs w:val="30"/>
        </w:rPr>
        <w:t>挂单申请后，现货</w:t>
      </w:r>
      <w:r>
        <w:rPr>
          <w:rFonts w:hint="eastAsia" w:hAnsi="仿宋"/>
          <w:sz w:val="32"/>
          <w:szCs w:val="30"/>
        </w:rPr>
        <w:t>交易</w:t>
      </w:r>
      <w:r>
        <w:rPr>
          <w:rFonts w:hAnsi="仿宋"/>
          <w:sz w:val="32"/>
          <w:szCs w:val="30"/>
        </w:rPr>
        <w:t>平台实时将</w:t>
      </w:r>
      <w:r>
        <w:rPr>
          <w:rFonts w:hint="eastAsia" w:hAnsi="仿宋"/>
          <w:sz w:val="32"/>
          <w:szCs w:val="30"/>
        </w:rPr>
        <w:t>卖方挂单</w:t>
      </w:r>
      <w:r>
        <w:rPr>
          <w:rFonts w:hAnsi="仿宋"/>
          <w:sz w:val="32"/>
          <w:szCs w:val="30"/>
        </w:rPr>
        <w:t>申请</w:t>
      </w:r>
      <w:r>
        <w:rPr>
          <w:rFonts w:hint="eastAsia" w:hAnsi="仿宋"/>
          <w:sz w:val="32"/>
          <w:szCs w:val="30"/>
        </w:rPr>
        <w:t>及交易保证金</w:t>
      </w:r>
      <w:r>
        <w:rPr>
          <w:rFonts w:hAnsi="仿宋"/>
          <w:sz w:val="32"/>
          <w:szCs w:val="30"/>
        </w:rPr>
        <w:t>冻结指令</w:t>
      </w:r>
      <w:r>
        <w:rPr>
          <w:rFonts w:hint="eastAsia" w:hAnsi="仿宋"/>
          <w:sz w:val="32"/>
          <w:szCs w:val="30"/>
        </w:rPr>
        <w:t>发送</w:t>
      </w:r>
      <w:r>
        <w:rPr>
          <w:rFonts w:hAnsi="仿宋"/>
          <w:sz w:val="32"/>
          <w:szCs w:val="30"/>
        </w:rPr>
        <w:t>至上海清算所</w:t>
      </w:r>
      <w:r>
        <w:rPr>
          <w:rFonts w:hint="eastAsia" w:hAnsi="仿宋"/>
          <w:sz w:val="32"/>
          <w:szCs w:val="30"/>
        </w:rPr>
        <w:t>。</w:t>
      </w:r>
      <w:r>
        <w:rPr>
          <w:rFonts w:hAnsi="仿宋"/>
          <w:sz w:val="32"/>
          <w:szCs w:val="30"/>
        </w:rPr>
        <w:t>上海清算所对</w:t>
      </w:r>
      <w:r>
        <w:rPr>
          <w:rFonts w:hint="eastAsia" w:hAnsi="仿宋"/>
          <w:sz w:val="32"/>
          <w:szCs w:val="30"/>
        </w:rPr>
        <w:t>前述指令进行</w:t>
      </w:r>
      <w:r>
        <w:rPr>
          <w:rFonts w:hAnsi="仿宋"/>
          <w:sz w:val="32"/>
          <w:szCs w:val="30"/>
        </w:rPr>
        <w:t>要素检查</w:t>
      </w:r>
      <w:r>
        <w:rPr>
          <w:rFonts w:hint="eastAsia" w:hAnsi="仿宋"/>
          <w:sz w:val="32"/>
          <w:szCs w:val="30"/>
        </w:rPr>
        <w:t>。</w:t>
      </w:r>
    </w:p>
    <w:p>
      <w:pPr>
        <w:pStyle w:val="36"/>
        <w:numPr>
          <w:ilvl w:val="0"/>
          <w:numId w:val="3"/>
        </w:numPr>
        <w:spacing w:line="580" w:lineRule="exact"/>
        <w:jc w:val="both"/>
        <w:rPr>
          <w:rFonts w:hAnsi="仿宋"/>
          <w:sz w:val="32"/>
          <w:szCs w:val="30"/>
        </w:rPr>
      </w:pPr>
      <w:r>
        <w:rPr>
          <w:rFonts w:hAnsi="仿宋"/>
          <w:sz w:val="32"/>
          <w:szCs w:val="30"/>
        </w:rPr>
        <w:t>要素检查通过后</w:t>
      </w:r>
      <w:r>
        <w:rPr>
          <w:rFonts w:hint="eastAsia" w:hAnsi="仿宋"/>
          <w:sz w:val="32"/>
          <w:szCs w:val="30"/>
        </w:rPr>
        <w:t>，上海</w:t>
      </w:r>
      <w:r>
        <w:rPr>
          <w:rFonts w:hAnsi="仿宋"/>
          <w:sz w:val="32"/>
          <w:szCs w:val="30"/>
        </w:rPr>
        <w:t>清算所</w:t>
      </w:r>
      <w:r>
        <w:rPr>
          <w:rFonts w:hint="eastAsia" w:hAnsi="仿宋"/>
          <w:sz w:val="32"/>
          <w:szCs w:val="30"/>
        </w:rPr>
        <w:t>将</w:t>
      </w:r>
      <w:r>
        <w:rPr>
          <w:rFonts w:hAnsi="仿宋"/>
          <w:sz w:val="32"/>
          <w:szCs w:val="30"/>
        </w:rPr>
        <w:t>交易</w:t>
      </w:r>
      <w:r>
        <w:rPr>
          <w:rFonts w:hint="eastAsia" w:hAnsi="仿宋"/>
          <w:sz w:val="32"/>
          <w:szCs w:val="30"/>
        </w:rPr>
        <w:t>保证金冻结指令转发至相关现货</w:t>
      </w:r>
      <w:r>
        <w:rPr>
          <w:rFonts w:hAnsi="仿宋"/>
          <w:sz w:val="32"/>
          <w:szCs w:val="30"/>
        </w:rPr>
        <w:t>清算</w:t>
      </w:r>
      <w:r>
        <w:rPr>
          <w:rFonts w:hint="eastAsia" w:hAnsi="仿宋"/>
          <w:sz w:val="32"/>
          <w:szCs w:val="30"/>
        </w:rPr>
        <w:t>成员。对于</w:t>
      </w:r>
      <w:r>
        <w:rPr>
          <w:rFonts w:hAnsi="仿宋"/>
          <w:sz w:val="32"/>
          <w:szCs w:val="30"/>
        </w:rPr>
        <w:t>需要进行交易标的信息比对的，上海清算所</w:t>
      </w:r>
      <w:r>
        <w:rPr>
          <w:rFonts w:hint="eastAsia" w:hAnsi="仿宋"/>
          <w:sz w:val="32"/>
          <w:szCs w:val="30"/>
        </w:rPr>
        <w:t>向</w:t>
      </w:r>
      <w:r>
        <w:rPr>
          <w:rFonts w:hAnsi="仿宋"/>
          <w:sz w:val="32"/>
          <w:szCs w:val="30"/>
        </w:rPr>
        <w:t>公示平台</w:t>
      </w:r>
      <w:r>
        <w:rPr>
          <w:rFonts w:hint="eastAsia" w:hAnsi="仿宋"/>
          <w:sz w:val="32"/>
          <w:szCs w:val="30"/>
        </w:rPr>
        <w:t>查询</w:t>
      </w:r>
      <w:r>
        <w:rPr>
          <w:rFonts w:hAnsi="仿宋"/>
          <w:sz w:val="32"/>
          <w:szCs w:val="30"/>
        </w:rPr>
        <w:t>交易标的信息</w:t>
      </w:r>
      <w:r>
        <w:rPr>
          <w:rFonts w:hint="eastAsia" w:hAnsi="仿宋"/>
          <w:sz w:val="32"/>
          <w:szCs w:val="30"/>
        </w:rPr>
        <w:t>并</w:t>
      </w:r>
      <w:r>
        <w:rPr>
          <w:rFonts w:hAnsi="仿宋"/>
          <w:sz w:val="32"/>
          <w:szCs w:val="30"/>
        </w:rPr>
        <w:t>比对</w:t>
      </w:r>
      <w:r>
        <w:rPr>
          <w:rFonts w:hint="eastAsia" w:hAnsi="仿宋"/>
          <w:sz w:val="32"/>
          <w:szCs w:val="30"/>
        </w:rPr>
        <w:t>，</w:t>
      </w:r>
      <w:r>
        <w:rPr>
          <w:rFonts w:hAnsi="仿宋"/>
          <w:sz w:val="32"/>
          <w:szCs w:val="30"/>
        </w:rPr>
        <w:t>比对成功的，</w:t>
      </w:r>
      <w:r>
        <w:rPr>
          <w:rFonts w:hint="eastAsia" w:hAnsi="仿宋"/>
          <w:sz w:val="32"/>
          <w:szCs w:val="30"/>
        </w:rPr>
        <w:t>上海</w:t>
      </w:r>
      <w:r>
        <w:rPr>
          <w:rFonts w:hAnsi="仿宋"/>
          <w:sz w:val="32"/>
          <w:szCs w:val="30"/>
        </w:rPr>
        <w:t>清算所</w:t>
      </w:r>
      <w:r>
        <w:rPr>
          <w:rFonts w:hint="eastAsia" w:hAnsi="仿宋"/>
          <w:sz w:val="32"/>
          <w:szCs w:val="30"/>
        </w:rPr>
        <w:t>将交易保证金</w:t>
      </w:r>
      <w:r>
        <w:rPr>
          <w:rFonts w:hAnsi="仿宋"/>
          <w:sz w:val="32"/>
          <w:szCs w:val="30"/>
        </w:rPr>
        <w:t>冻结指令</w:t>
      </w:r>
      <w:r>
        <w:rPr>
          <w:rFonts w:hint="eastAsia" w:hAnsi="仿宋"/>
          <w:sz w:val="32"/>
          <w:szCs w:val="30"/>
        </w:rPr>
        <w:t>转发至相关</w:t>
      </w:r>
      <w:r>
        <w:rPr>
          <w:rFonts w:hAnsi="仿宋"/>
          <w:sz w:val="32"/>
          <w:szCs w:val="30"/>
        </w:rPr>
        <w:t>现货</w:t>
      </w:r>
      <w:r>
        <w:rPr>
          <w:rFonts w:hint="eastAsia" w:hAnsi="仿宋"/>
          <w:sz w:val="32"/>
          <w:szCs w:val="30"/>
        </w:rPr>
        <w:t>清算成员。</w:t>
      </w:r>
    </w:p>
    <w:p>
      <w:pPr>
        <w:pStyle w:val="36"/>
        <w:numPr>
          <w:ilvl w:val="0"/>
          <w:numId w:val="3"/>
        </w:numPr>
        <w:spacing w:line="580" w:lineRule="exact"/>
        <w:jc w:val="both"/>
        <w:rPr>
          <w:rFonts w:hAnsi="仿宋"/>
          <w:sz w:val="32"/>
          <w:szCs w:val="30"/>
        </w:rPr>
      </w:pPr>
      <w:r>
        <w:rPr>
          <w:rFonts w:hint="eastAsia" w:hAnsi="仿宋"/>
          <w:sz w:val="32"/>
          <w:szCs w:val="30"/>
        </w:rPr>
        <w:t>根据交易保证金</w:t>
      </w:r>
      <w:r>
        <w:rPr>
          <w:rFonts w:hAnsi="仿宋"/>
          <w:sz w:val="32"/>
          <w:szCs w:val="30"/>
        </w:rPr>
        <w:t>冻结指令</w:t>
      </w:r>
      <w:r>
        <w:rPr>
          <w:rFonts w:hint="eastAsia" w:hAnsi="仿宋"/>
          <w:sz w:val="32"/>
          <w:szCs w:val="30"/>
        </w:rPr>
        <w:t>，现货清算</w:t>
      </w:r>
      <w:r>
        <w:rPr>
          <w:rFonts w:hAnsi="仿宋"/>
          <w:sz w:val="32"/>
          <w:szCs w:val="30"/>
        </w:rPr>
        <w:t>成员</w:t>
      </w:r>
      <w:r>
        <w:rPr>
          <w:rFonts w:hint="eastAsia" w:hAnsi="仿宋"/>
          <w:sz w:val="32"/>
          <w:szCs w:val="30"/>
        </w:rPr>
        <w:t>冻</w:t>
      </w:r>
      <w:r>
        <w:rPr>
          <w:rFonts w:hAnsi="仿宋"/>
          <w:sz w:val="32"/>
          <w:szCs w:val="30"/>
        </w:rPr>
        <w:t>结卖方</w:t>
      </w:r>
      <w:r>
        <w:rPr>
          <w:rFonts w:hint="eastAsia" w:hAnsi="仿宋"/>
          <w:sz w:val="32"/>
          <w:szCs w:val="30"/>
        </w:rPr>
        <w:t>交易保证金</w:t>
      </w:r>
      <w:r>
        <w:rPr>
          <w:rFonts w:hAnsi="仿宋"/>
          <w:sz w:val="32"/>
          <w:szCs w:val="30"/>
        </w:rPr>
        <w:t>，并将冻结结果反馈上海清算所，上海清算所将冻结结果转发现货</w:t>
      </w:r>
      <w:r>
        <w:rPr>
          <w:rFonts w:hint="eastAsia" w:hAnsi="仿宋"/>
          <w:sz w:val="32"/>
          <w:szCs w:val="30"/>
        </w:rPr>
        <w:t>交易</w:t>
      </w:r>
      <w:r>
        <w:rPr>
          <w:rFonts w:hAnsi="仿宋"/>
          <w:sz w:val="32"/>
          <w:szCs w:val="30"/>
        </w:rPr>
        <w:t>平台。</w:t>
      </w:r>
      <w:r>
        <w:rPr>
          <w:rFonts w:hint="eastAsia" w:hAnsi="仿宋"/>
          <w:sz w:val="32"/>
          <w:szCs w:val="30"/>
        </w:rPr>
        <w:t>交易保证金</w:t>
      </w:r>
      <w:r>
        <w:rPr>
          <w:rFonts w:hAnsi="仿宋"/>
          <w:sz w:val="32"/>
          <w:szCs w:val="30"/>
        </w:rPr>
        <w:t>冻结成功</w:t>
      </w:r>
      <w:r>
        <w:rPr>
          <w:rFonts w:hint="eastAsia" w:hAnsi="仿宋"/>
          <w:sz w:val="32"/>
          <w:szCs w:val="30"/>
        </w:rPr>
        <w:t>的</w:t>
      </w:r>
      <w:r>
        <w:rPr>
          <w:rFonts w:hAnsi="仿宋"/>
          <w:sz w:val="32"/>
          <w:szCs w:val="30"/>
        </w:rPr>
        <w:t>，卖方挂单</w:t>
      </w:r>
      <w:r>
        <w:rPr>
          <w:rFonts w:hint="eastAsia" w:hAnsi="仿宋"/>
          <w:sz w:val="32"/>
          <w:szCs w:val="30"/>
        </w:rPr>
        <w:t>申请</w:t>
      </w:r>
      <w:r>
        <w:rPr>
          <w:rFonts w:hAnsi="仿宋"/>
          <w:sz w:val="32"/>
          <w:szCs w:val="30"/>
        </w:rPr>
        <w:t>成功。</w:t>
      </w:r>
    </w:p>
    <w:p>
      <w:pPr>
        <w:pStyle w:val="36"/>
        <w:numPr>
          <w:ilvl w:val="0"/>
          <w:numId w:val="3"/>
        </w:numPr>
        <w:spacing w:line="580" w:lineRule="exact"/>
        <w:jc w:val="both"/>
        <w:rPr>
          <w:rFonts w:hAnsi="仿宋"/>
          <w:sz w:val="32"/>
          <w:szCs w:val="30"/>
        </w:rPr>
      </w:pPr>
      <w:r>
        <w:rPr>
          <w:rFonts w:hAnsi="仿宋"/>
          <w:sz w:val="32"/>
          <w:szCs w:val="30"/>
        </w:rPr>
        <w:t>现货</w:t>
      </w:r>
      <w:r>
        <w:rPr>
          <w:rFonts w:hint="eastAsia" w:hAnsi="仿宋"/>
          <w:sz w:val="32"/>
          <w:szCs w:val="30"/>
        </w:rPr>
        <w:t>交易</w:t>
      </w:r>
      <w:r>
        <w:rPr>
          <w:rFonts w:hAnsi="仿宋"/>
          <w:sz w:val="32"/>
          <w:szCs w:val="30"/>
        </w:rPr>
        <w:t>平台</w:t>
      </w:r>
      <w:r>
        <w:rPr>
          <w:rFonts w:hint="eastAsia" w:hAnsi="仿宋"/>
          <w:sz w:val="32"/>
          <w:szCs w:val="30"/>
        </w:rPr>
        <w:t>规定</w:t>
      </w:r>
      <w:r>
        <w:rPr>
          <w:rFonts w:hAnsi="仿宋"/>
          <w:sz w:val="32"/>
          <w:szCs w:val="30"/>
        </w:rPr>
        <w:t>卖方</w:t>
      </w:r>
      <w:r>
        <w:rPr>
          <w:rFonts w:hint="eastAsia" w:hAnsi="仿宋"/>
          <w:sz w:val="32"/>
          <w:szCs w:val="30"/>
        </w:rPr>
        <w:t>提交</w:t>
      </w:r>
      <w:r>
        <w:rPr>
          <w:rFonts w:hAnsi="仿宋"/>
          <w:sz w:val="32"/>
          <w:szCs w:val="30"/>
        </w:rPr>
        <w:t>挂单</w:t>
      </w:r>
      <w:r>
        <w:rPr>
          <w:rFonts w:hint="eastAsia" w:hAnsi="仿宋"/>
          <w:sz w:val="32"/>
          <w:szCs w:val="30"/>
        </w:rPr>
        <w:t>申请时无需交纳</w:t>
      </w:r>
      <w:r>
        <w:rPr>
          <w:rFonts w:hAnsi="仿宋"/>
          <w:sz w:val="32"/>
          <w:szCs w:val="30"/>
        </w:rPr>
        <w:t>交易保证金</w:t>
      </w:r>
      <w:r>
        <w:rPr>
          <w:rFonts w:hint="eastAsia" w:hAnsi="仿宋"/>
          <w:sz w:val="32"/>
          <w:szCs w:val="30"/>
        </w:rPr>
        <w:t>的</w:t>
      </w:r>
      <w:r>
        <w:rPr>
          <w:rFonts w:hAnsi="仿宋"/>
          <w:sz w:val="32"/>
          <w:szCs w:val="30"/>
        </w:rPr>
        <w:t>，</w:t>
      </w:r>
      <w:r>
        <w:rPr>
          <w:rFonts w:hint="eastAsia" w:hAnsi="仿宋"/>
          <w:sz w:val="32"/>
          <w:szCs w:val="30"/>
        </w:rPr>
        <w:t>交易标的比对成功</w:t>
      </w:r>
      <w:r>
        <w:rPr>
          <w:rFonts w:hAnsi="仿宋"/>
          <w:sz w:val="32"/>
          <w:szCs w:val="30"/>
        </w:rPr>
        <w:t>后</w:t>
      </w:r>
      <w:r>
        <w:rPr>
          <w:rFonts w:hint="eastAsia" w:hAnsi="仿宋"/>
          <w:sz w:val="32"/>
          <w:szCs w:val="30"/>
        </w:rPr>
        <w:t>（</w:t>
      </w:r>
      <w:r>
        <w:rPr>
          <w:rFonts w:hAnsi="仿宋"/>
          <w:sz w:val="32"/>
          <w:szCs w:val="30"/>
        </w:rPr>
        <w:t>或有）</w:t>
      </w:r>
      <w:r>
        <w:rPr>
          <w:rFonts w:hint="eastAsia" w:hAnsi="仿宋"/>
          <w:sz w:val="32"/>
          <w:szCs w:val="30"/>
        </w:rPr>
        <w:t>，卖方</w:t>
      </w:r>
      <w:r>
        <w:rPr>
          <w:rFonts w:hAnsi="仿宋"/>
          <w:sz w:val="32"/>
          <w:szCs w:val="30"/>
        </w:rPr>
        <w:t>挂单</w:t>
      </w:r>
      <w:r>
        <w:rPr>
          <w:rFonts w:hint="eastAsia" w:hAnsi="仿宋"/>
          <w:sz w:val="32"/>
          <w:szCs w:val="30"/>
        </w:rPr>
        <w:t>申请</w:t>
      </w:r>
      <w:r>
        <w:rPr>
          <w:rFonts w:hAnsi="仿宋"/>
          <w:sz w:val="32"/>
          <w:szCs w:val="30"/>
        </w:rPr>
        <w:t>成功。</w:t>
      </w:r>
    </w:p>
    <w:p>
      <w:pPr>
        <w:pStyle w:val="4"/>
        <w:numPr>
          <w:ilvl w:val="0"/>
          <w:numId w:val="4"/>
        </w:numPr>
        <w:spacing w:line="580" w:lineRule="exact"/>
        <w:ind w:left="0" w:firstLine="0"/>
        <w:rPr>
          <w:sz w:val="32"/>
        </w:rPr>
      </w:pPr>
      <w:bookmarkStart w:id="26" w:name="_Toc41292901"/>
      <w:bookmarkStart w:id="27" w:name="_Toc134628741"/>
      <w:r>
        <w:rPr>
          <w:sz w:val="32"/>
        </w:rPr>
        <w:t>议价申请</w:t>
      </w:r>
      <w:r>
        <w:rPr>
          <w:rFonts w:hint="eastAsia"/>
          <w:sz w:val="32"/>
        </w:rPr>
        <w:t>处理</w:t>
      </w:r>
      <w:bookmarkEnd w:id="26"/>
      <w:bookmarkEnd w:id="27"/>
    </w:p>
    <w:p>
      <w:pPr>
        <w:pStyle w:val="36"/>
        <w:numPr>
          <w:ilvl w:val="0"/>
          <w:numId w:val="3"/>
        </w:numPr>
        <w:spacing w:line="580" w:lineRule="exact"/>
        <w:jc w:val="both"/>
        <w:rPr>
          <w:rFonts w:hAnsi="仿宋"/>
          <w:sz w:val="32"/>
          <w:szCs w:val="30"/>
        </w:rPr>
      </w:pPr>
      <w:r>
        <w:rPr>
          <w:rFonts w:hint="eastAsia" w:hAnsi="仿宋"/>
          <w:sz w:val="32"/>
          <w:szCs w:val="30"/>
        </w:rPr>
        <w:t>在工作日规定交易时间内</w:t>
      </w:r>
      <w:r>
        <w:rPr>
          <w:rFonts w:hAnsi="仿宋"/>
          <w:sz w:val="32"/>
          <w:szCs w:val="30"/>
        </w:rPr>
        <w:t>，</w:t>
      </w:r>
      <w:r>
        <w:rPr>
          <w:rFonts w:hint="eastAsia" w:hAnsi="仿宋"/>
          <w:sz w:val="32"/>
          <w:szCs w:val="30"/>
        </w:rPr>
        <w:t>买方交易商提交议价</w:t>
      </w:r>
      <w:r>
        <w:rPr>
          <w:rFonts w:hAnsi="仿宋"/>
          <w:sz w:val="32"/>
          <w:szCs w:val="30"/>
        </w:rPr>
        <w:t>申请后，现货</w:t>
      </w:r>
      <w:r>
        <w:rPr>
          <w:rFonts w:hint="eastAsia" w:hAnsi="仿宋"/>
          <w:sz w:val="32"/>
          <w:szCs w:val="30"/>
        </w:rPr>
        <w:t>交易</w:t>
      </w:r>
      <w:r>
        <w:rPr>
          <w:rFonts w:hAnsi="仿宋"/>
          <w:sz w:val="32"/>
          <w:szCs w:val="30"/>
        </w:rPr>
        <w:t>平台实时将</w:t>
      </w:r>
      <w:r>
        <w:rPr>
          <w:rFonts w:hint="eastAsia" w:hAnsi="仿宋"/>
          <w:sz w:val="32"/>
          <w:szCs w:val="30"/>
        </w:rPr>
        <w:t>买方议价</w:t>
      </w:r>
      <w:r>
        <w:rPr>
          <w:rFonts w:hAnsi="仿宋"/>
          <w:sz w:val="32"/>
          <w:szCs w:val="30"/>
        </w:rPr>
        <w:t>申请</w:t>
      </w:r>
      <w:r>
        <w:rPr>
          <w:rFonts w:hint="eastAsia" w:hAnsi="仿宋"/>
          <w:sz w:val="32"/>
          <w:szCs w:val="30"/>
        </w:rPr>
        <w:t>及交易保证金</w:t>
      </w:r>
      <w:r>
        <w:rPr>
          <w:rFonts w:hAnsi="仿宋"/>
          <w:sz w:val="32"/>
          <w:szCs w:val="30"/>
        </w:rPr>
        <w:t>冻结指令</w:t>
      </w:r>
      <w:r>
        <w:rPr>
          <w:rFonts w:hint="eastAsia" w:hAnsi="仿宋"/>
          <w:sz w:val="32"/>
          <w:szCs w:val="30"/>
        </w:rPr>
        <w:t>发送</w:t>
      </w:r>
      <w:r>
        <w:rPr>
          <w:rFonts w:hAnsi="仿宋"/>
          <w:sz w:val="32"/>
          <w:szCs w:val="30"/>
        </w:rPr>
        <w:t>至上海清算所</w:t>
      </w:r>
      <w:r>
        <w:rPr>
          <w:rFonts w:hint="eastAsia" w:hAnsi="仿宋"/>
          <w:sz w:val="32"/>
          <w:szCs w:val="30"/>
        </w:rPr>
        <w:t>。上海清算所</w:t>
      </w:r>
      <w:r>
        <w:rPr>
          <w:rFonts w:hAnsi="仿宋"/>
          <w:sz w:val="32"/>
          <w:szCs w:val="30"/>
        </w:rPr>
        <w:t>对前述指令进行要素检查。</w:t>
      </w:r>
    </w:p>
    <w:p>
      <w:pPr>
        <w:pStyle w:val="36"/>
        <w:numPr>
          <w:ilvl w:val="0"/>
          <w:numId w:val="3"/>
        </w:numPr>
        <w:spacing w:line="580" w:lineRule="exact"/>
        <w:jc w:val="both"/>
        <w:rPr>
          <w:rFonts w:hAnsi="仿宋"/>
          <w:sz w:val="32"/>
          <w:szCs w:val="30"/>
        </w:rPr>
      </w:pPr>
      <w:r>
        <w:rPr>
          <w:rFonts w:hint="eastAsia" w:hAnsi="仿宋"/>
          <w:sz w:val="32"/>
          <w:szCs w:val="30"/>
        </w:rPr>
        <w:t>要素检查</w:t>
      </w:r>
      <w:r>
        <w:rPr>
          <w:rFonts w:hAnsi="仿宋"/>
          <w:sz w:val="32"/>
          <w:szCs w:val="30"/>
        </w:rPr>
        <w:t>通过后，</w:t>
      </w:r>
      <w:r>
        <w:rPr>
          <w:rFonts w:hint="eastAsia" w:hAnsi="仿宋"/>
          <w:sz w:val="32"/>
          <w:szCs w:val="30"/>
        </w:rPr>
        <w:t>上海</w:t>
      </w:r>
      <w:r>
        <w:rPr>
          <w:rFonts w:hAnsi="仿宋"/>
          <w:sz w:val="32"/>
          <w:szCs w:val="30"/>
        </w:rPr>
        <w:t>清算所</w:t>
      </w:r>
      <w:r>
        <w:rPr>
          <w:rFonts w:hint="eastAsia" w:hAnsi="仿宋"/>
          <w:sz w:val="32"/>
          <w:szCs w:val="30"/>
        </w:rPr>
        <w:t>将</w:t>
      </w:r>
      <w:r>
        <w:rPr>
          <w:rFonts w:hAnsi="仿宋"/>
          <w:sz w:val="32"/>
          <w:szCs w:val="30"/>
        </w:rPr>
        <w:t>交易保证金</w:t>
      </w:r>
      <w:r>
        <w:rPr>
          <w:rFonts w:hint="eastAsia" w:hAnsi="仿宋"/>
          <w:sz w:val="32"/>
          <w:szCs w:val="30"/>
        </w:rPr>
        <w:t>冻结</w:t>
      </w:r>
      <w:r>
        <w:rPr>
          <w:rFonts w:hAnsi="仿宋"/>
          <w:sz w:val="32"/>
          <w:szCs w:val="30"/>
        </w:rPr>
        <w:t>指令转发至</w:t>
      </w:r>
      <w:r>
        <w:rPr>
          <w:rFonts w:hint="eastAsia" w:hAnsi="仿宋"/>
          <w:sz w:val="32"/>
          <w:szCs w:val="30"/>
        </w:rPr>
        <w:t>相关</w:t>
      </w:r>
      <w:r>
        <w:rPr>
          <w:rFonts w:hAnsi="仿宋"/>
          <w:sz w:val="32"/>
          <w:szCs w:val="30"/>
        </w:rPr>
        <w:t>现货清算成员</w:t>
      </w:r>
      <w:r>
        <w:rPr>
          <w:rFonts w:hint="eastAsia" w:hAnsi="仿宋"/>
          <w:sz w:val="32"/>
          <w:szCs w:val="30"/>
        </w:rPr>
        <w:t>。</w:t>
      </w:r>
    </w:p>
    <w:p>
      <w:pPr>
        <w:pStyle w:val="36"/>
        <w:numPr>
          <w:ilvl w:val="0"/>
          <w:numId w:val="3"/>
        </w:numPr>
        <w:spacing w:line="580" w:lineRule="exact"/>
        <w:jc w:val="both"/>
        <w:rPr>
          <w:rFonts w:hAnsi="仿宋"/>
          <w:sz w:val="32"/>
          <w:szCs w:val="30"/>
        </w:rPr>
      </w:pPr>
      <w:r>
        <w:rPr>
          <w:rFonts w:hint="eastAsia" w:hAnsi="仿宋"/>
          <w:sz w:val="32"/>
          <w:szCs w:val="30"/>
        </w:rPr>
        <w:t>根据交易保证金</w:t>
      </w:r>
      <w:r>
        <w:rPr>
          <w:rFonts w:hAnsi="仿宋"/>
          <w:sz w:val="32"/>
          <w:szCs w:val="30"/>
        </w:rPr>
        <w:t>冻结指令</w:t>
      </w:r>
      <w:r>
        <w:rPr>
          <w:rFonts w:hint="eastAsia" w:hAnsi="仿宋"/>
          <w:sz w:val="32"/>
          <w:szCs w:val="30"/>
        </w:rPr>
        <w:t>，现货清算</w:t>
      </w:r>
      <w:r>
        <w:rPr>
          <w:rFonts w:hAnsi="仿宋"/>
          <w:sz w:val="32"/>
          <w:szCs w:val="30"/>
        </w:rPr>
        <w:t>成员</w:t>
      </w:r>
      <w:r>
        <w:rPr>
          <w:rFonts w:hint="eastAsia" w:hAnsi="仿宋"/>
          <w:sz w:val="32"/>
          <w:szCs w:val="30"/>
        </w:rPr>
        <w:t>冻结买方交易保证金</w:t>
      </w:r>
      <w:r>
        <w:rPr>
          <w:rFonts w:hAnsi="仿宋"/>
          <w:sz w:val="32"/>
          <w:szCs w:val="30"/>
        </w:rPr>
        <w:t>，并将冻结结果反馈上海清算所，上海清算所将冻结结果转发现货</w:t>
      </w:r>
      <w:r>
        <w:rPr>
          <w:rFonts w:hint="eastAsia" w:hAnsi="仿宋"/>
          <w:sz w:val="32"/>
          <w:szCs w:val="30"/>
        </w:rPr>
        <w:t>交易</w:t>
      </w:r>
      <w:r>
        <w:rPr>
          <w:rFonts w:hAnsi="仿宋"/>
          <w:sz w:val="32"/>
          <w:szCs w:val="30"/>
        </w:rPr>
        <w:t>平台。</w:t>
      </w:r>
      <w:r>
        <w:rPr>
          <w:rFonts w:hint="eastAsia" w:hAnsi="仿宋"/>
          <w:sz w:val="32"/>
          <w:szCs w:val="30"/>
        </w:rPr>
        <w:t>交易保证金</w:t>
      </w:r>
      <w:r>
        <w:rPr>
          <w:rFonts w:hAnsi="仿宋"/>
          <w:sz w:val="32"/>
          <w:szCs w:val="30"/>
        </w:rPr>
        <w:t>冻结成功的，</w:t>
      </w:r>
      <w:r>
        <w:rPr>
          <w:rFonts w:hint="eastAsia" w:hAnsi="仿宋"/>
          <w:sz w:val="32"/>
          <w:szCs w:val="30"/>
        </w:rPr>
        <w:t>买方议价申请</w:t>
      </w:r>
      <w:r>
        <w:rPr>
          <w:rFonts w:hAnsi="仿宋"/>
          <w:sz w:val="32"/>
          <w:szCs w:val="30"/>
        </w:rPr>
        <w:t>成功。</w:t>
      </w:r>
    </w:p>
    <w:p>
      <w:pPr>
        <w:pStyle w:val="36"/>
        <w:numPr>
          <w:ilvl w:val="0"/>
          <w:numId w:val="3"/>
        </w:numPr>
        <w:spacing w:line="580" w:lineRule="exact"/>
        <w:jc w:val="both"/>
        <w:rPr>
          <w:rFonts w:hAnsi="仿宋"/>
          <w:sz w:val="32"/>
          <w:szCs w:val="30"/>
        </w:rPr>
      </w:pPr>
      <w:r>
        <w:rPr>
          <w:rFonts w:hAnsi="仿宋"/>
          <w:sz w:val="32"/>
          <w:szCs w:val="30"/>
        </w:rPr>
        <w:t>现货</w:t>
      </w:r>
      <w:r>
        <w:rPr>
          <w:rFonts w:hint="eastAsia" w:hAnsi="仿宋"/>
          <w:sz w:val="32"/>
          <w:szCs w:val="30"/>
        </w:rPr>
        <w:t>交易</w:t>
      </w:r>
      <w:r>
        <w:rPr>
          <w:rFonts w:hAnsi="仿宋"/>
          <w:sz w:val="32"/>
          <w:szCs w:val="30"/>
        </w:rPr>
        <w:t>平台</w:t>
      </w:r>
      <w:r>
        <w:rPr>
          <w:rFonts w:hint="eastAsia" w:hAnsi="仿宋"/>
          <w:sz w:val="32"/>
          <w:szCs w:val="30"/>
        </w:rPr>
        <w:t>规定买</w:t>
      </w:r>
      <w:r>
        <w:rPr>
          <w:rFonts w:hAnsi="仿宋"/>
          <w:sz w:val="32"/>
          <w:szCs w:val="30"/>
        </w:rPr>
        <w:t>方</w:t>
      </w:r>
      <w:r>
        <w:rPr>
          <w:rFonts w:hint="eastAsia" w:hAnsi="仿宋"/>
          <w:sz w:val="32"/>
          <w:szCs w:val="30"/>
        </w:rPr>
        <w:t>提交议价申请时无需交纳</w:t>
      </w:r>
      <w:r>
        <w:rPr>
          <w:rFonts w:hAnsi="仿宋"/>
          <w:sz w:val="32"/>
          <w:szCs w:val="30"/>
        </w:rPr>
        <w:t>交易保证金</w:t>
      </w:r>
      <w:r>
        <w:rPr>
          <w:rFonts w:hint="eastAsia" w:hAnsi="仿宋"/>
          <w:sz w:val="32"/>
          <w:szCs w:val="30"/>
        </w:rPr>
        <w:t>的</w:t>
      </w:r>
      <w:r>
        <w:rPr>
          <w:rFonts w:hAnsi="仿宋"/>
          <w:sz w:val="32"/>
          <w:szCs w:val="30"/>
        </w:rPr>
        <w:t>，</w:t>
      </w:r>
      <w:r>
        <w:rPr>
          <w:rFonts w:hint="eastAsia" w:hAnsi="仿宋"/>
          <w:sz w:val="32"/>
          <w:szCs w:val="30"/>
        </w:rPr>
        <w:t>要素检查通过</w:t>
      </w:r>
      <w:r>
        <w:rPr>
          <w:rFonts w:hAnsi="仿宋"/>
          <w:sz w:val="32"/>
          <w:szCs w:val="30"/>
        </w:rPr>
        <w:t>后</w:t>
      </w:r>
      <w:r>
        <w:rPr>
          <w:rFonts w:hint="eastAsia" w:hAnsi="仿宋"/>
          <w:sz w:val="32"/>
          <w:szCs w:val="30"/>
        </w:rPr>
        <w:t>买方议价申请</w:t>
      </w:r>
      <w:r>
        <w:rPr>
          <w:rFonts w:hAnsi="仿宋"/>
          <w:sz w:val="32"/>
          <w:szCs w:val="30"/>
        </w:rPr>
        <w:t>成功。</w:t>
      </w:r>
    </w:p>
    <w:p>
      <w:pPr>
        <w:pStyle w:val="4"/>
        <w:numPr>
          <w:ilvl w:val="0"/>
          <w:numId w:val="4"/>
        </w:numPr>
        <w:spacing w:line="580" w:lineRule="exact"/>
        <w:ind w:left="0" w:firstLine="0"/>
        <w:rPr>
          <w:sz w:val="32"/>
        </w:rPr>
      </w:pPr>
      <w:bookmarkStart w:id="28" w:name="_Toc134628742"/>
      <w:bookmarkStart w:id="29" w:name="_Toc41292902"/>
      <w:r>
        <w:rPr>
          <w:rFonts w:hint="eastAsia"/>
          <w:sz w:val="32"/>
        </w:rPr>
        <w:t>撤销</w:t>
      </w:r>
      <w:r>
        <w:rPr>
          <w:sz w:val="32"/>
        </w:rPr>
        <w:t>申请</w:t>
      </w:r>
      <w:r>
        <w:rPr>
          <w:rFonts w:hint="eastAsia"/>
          <w:sz w:val="32"/>
        </w:rPr>
        <w:t>处理</w:t>
      </w:r>
      <w:bookmarkEnd w:id="28"/>
      <w:bookmarkEnd w:id="29"/>
    </w:p>
    <w:p>
      <w:pPr>
        <w:pStyle w:val="36"/>
        <w:numPr>
          <w:ilvl w:val="0"/>
          <w:numId w:val="3"/>
        </w:numPr>
        <w:spacing w:line="580" w:lineRule="exact"/>
        <w:jc w:val="both"/>
        <w:rPr>
          <w:rFonts w:hAnsi="仿宋"/>
          <w:sz w:val="32"/>
          <w:szCs w:val="30"/>
        </w:rPr>
      </w:pPr>
      <w:r>
        <w:rPr>
          <w:rFonts w:hint="eastAsia" w:hAnsi="仿宋"/>
          <w:sz w:val="32"/>
          <w:szCs w:val="30"/>
        </w:rPr>
        <w:t>在工作日规定交易时间内</w:t>
      </w:r>
      <w:r>
        <w:rPr>
          <w:rFonts w:hAnsi="仿宋"/>
          <w:sz w:val="32"/>
          <w:szCs w:val="30"/>
        </w:rPr>
        <w:t>，挂单</w:t>
      </w:r>
      <w:r>
        <w:rPr>
          <w:rFonts w:hint="eastAsia" w:hAnsi="仿宋"/>
          <w:sz w:val="32"/>
          <w:szCs w:val="30"/>
        </w:rPr>
        <w:t>或</w:t>
      </w:r>
      <w:r>
        <w:rPr>
          <w:rFonts w:hAnsi="仿宋"/>
          <w:sz w:val="32"/>
          <w:szCs w:val="30"/>
        </w:rPr>
        <w:t>议价申请</w:t>
      </w:r>
      <w:r>
        <w:rPr>
          <w:rFonts w:hint="eastAsia" w:hAnsi="仿宋"/>
          <w:sz w:val="32"/>
          <w:szCs w:val="30"/>
        </w:rPr>
        <w:t>成功但交易</w:t>
      </w:r>
      <w:r>
        <w:rPr>
          <w:rFonts w:hAnsi="仿宋"/>
          <w:sz w:val="32"/>
          <w:szCs w:val="30"/>
        </w:rPr>
        <w:t>未达成</w:t>
      </w:r>
      <w:r>
        <w:rPr>
          <w:rFonts w:hint="eastAsia" w:hAnsi="仿宋"/>
          <w:sz w:val="32"/>
          <w:szCs w:val="30"/>
        </w:rPr>
        <w:t>的，</w:t>
      </w:r>
      <w:r>
        <w:rPr>
          <w:rFonts w:hAnsi="仿宋"/>
          <w:sz w:val="32"/>
          <w:szCs w:val="30"/>
        </w:rPr>
        <w:t>交易商</w:t>
      </w:r>
      <w:r>
        <w:rPr>
          <w:rFonts w:hint="eastAsia" w:hAnsi="仿宋"/>
          <w:sz w:val="32"/>
          <w:szCs w:val="30"/>
        </w:rPr>
        <w:t>可</w:t>
      </w:r>
      <w:r>
        <w:rPr>
          <w:rFonts w:hAnsi="仿宋"/>
          <w:sz w:val="32"/>
          <w:szCs w:val="30"/>
        </w:rPr>
        <w:t>提出</w:t>
      </w:r>
      <w:r>
        <w:rPr>
          <w:rFonts w:hint="eastAsia" w:hAnsi="仿宋"/>
          <w:sz w:val="32"/>
          <w:szCs w:val="30"/>
        </w:rPr>
        <w:t>撤销申请。</w:t>
      </w:r>
      <w:r>
        <w:rPr>
          <w:rFonts w:hAnsi="仿宋"/>
          <w:sz w:val="32"/>
          <w:szCs w:val="30"/>
        </w:rPr>
        <w:t>现货</w:t>
      </w:r>
      <w:r>
        <w:rPr>
          <w:rFonts w:hint="eastAsia" w:hAnsi="仿宋"/>
          <w:sz w:val="32"/>
          <w:szCs w:val="30"/>
        </w:rPr>
        <w:t>交易</w:t>
      </w:r>
      <w:r>
        <w:rPr>
          <w:rFonts w:hAnsi="仿宋"/>
          <w:sz w:val="32"/>
          <w:szCs w:val="30"/>
        </w:rPr>
        <w:t>平台</w:t>
      </w:r>
      <w:r>
        <w:rPr>
          <w:rFonts w:hint="eastAsia" w:hAnsi="仿宋"/>
          <w:sz w:val="32"/>
          <w:szCs w:val="30"/>
        </w:rPr>
        <w:t>实时</w:t>
      </w:r>
      <w:r>
        <w:rPr>
          <w:rFonts w:hAnsi="仿宋"/>
          <w:sz w:val="32"/>
          <w:szCs w:val="30"/>
        </w:rPr>
        <w:t>将</w:t>
      </w:r>
      <w:r>
        <w:rPr>
          <w:rFonts w:hint="eastAsia" w:hAnsi="仿宋"/>
          <w:sz w:val="32"/>
          <w:szCs w:val="30"/>
        </w:rPr>
        <w:t>交易商</w:t>
      </w:r>
      <w:r>
        <w:rPr>
          <w:rFonts w:hAnsi="仿宋"/>
          <w:sz w:val="32"/>
          <w:szCs w:val="30"/>
        </w:rPr>
        <w:t>撤销申请</w:t>
      </w:r>
      <w:r>
        <w:rPr>
          <w:rFonts w:hint="eastAsia" w:hAnsi="仿宋"/>
          <w:sz w:val="32"/>
          <w:szCs w:val="30"/>
        </w:rPr>
        <w:t>及交易保证金</w:t>
      </w:r>
      <w:r>
        <w:rPr>
          <w:rFonts w:hAnsi="仿宋"/>
          <w:sz w:val="32"/>
          <w:szCs w:val="30"/>
        </w:rPr>
        <w:t>解冻指令</w:t>
      </w:r>
      <w:r>
        <w:rPr>
          <w:rFonts w:hint="eastAsia" w:hAnsi="仿宋"/>
          <w:sz w:val="32"/>
          <w:szCs w:val="30"/>
        </w:rPr>
        <w:t>发送</w:t>
      </w:r>
      <w:r>
        <w:rPr>
          <w:rFonts w:hAnsi="仿宋"/>
          <w:sz w:val="32"/>
          <w:szCs w:val="30"/>
        </w:rPr>
        <w:t>至上海清算所。</w:t>
      </w:r>
      <w:r>
        <w:rPr>
          <w:rFonts w:hint="eastAsia" w:hAnsi="仿宋"/>
          <w:sz w:val="32"/>
          <w:szCs w:val="30"/>
        </w:rPr>
        <w:t>上海清算所</w:t>
      </w:r>
      <w:r>
        <w:rPr>
          <w:rFonts w:hAnsi="仿宋"/>
          <w:sz w:val="32"/>
          <w:szCs w:val="30"/>
        </w:rPr>
        <w:t>对前述指令进行要素检查。</w:t>
      </w:r>
    </w:p>
    <w:p>
      <w:pPr>
        <w:pStyle w:val="36"/>
        <w:numPr>
          <w:ilvl w:val="0"/>
          <w:numId w:val="3"/>
        </w:numPr>
        <w:spacing w:line="580" w:lineRule="exact"/>
        <w:jc w:val="both"/>
        <w:rPr>
          <w:rFonts w:hAnsi="仿宋"/>
          <w:sz w:val="32"/>
          <w:szCs w:val="30"/>
        </w:rPr>
      </w:pPr>
      <w:r>
        <w:rPr>
          <w:rFonts w:hint="eastAsia" w:hAnsi="仿宋"/>
          <w:sz w:val="32"/>
          <w:szCs w:val="30"/>
        </w:rPr>
        <w:t>要素检查</w:t>
      </w:r>
      <w:r>
        <w:rPr>
          <w:rFonts w:hAnsi="仿宋"/>
          <w:sz w:val="32"/>
          <w:szCs w:val="30"/>
        </w:rPr>
        <w:t>通过后，</w:t>
      </w:r>
      <w:r>
        <w:rPr>
          <w:rFonts w:hint="eastAsia" w:hAnsi="仿宋"/>
          <w:sz w:val="32"/>
          <w:szCs w:val="30"/>
        </w:rPr>
        <w:t>上海清算所将</w:t>
      </w:r>
      <w:r>
        <w:rPr>
          <w:rFonts w:hAnsi="仿宋"/>
          <w:sz w:val="32"/>
          <w:szCs w:val="30"/>
        </w:rPr>
        <w:t>交易保证金</w:t>
      </w:r>
      <w:r>
        <w:rPr>
          <w:rFonts w:hint="eastAsia" w:hAnsi="仿宋"/>
          <w:sz w:val="32"/>
          <w:szCs w:val="30"/>
        </w:rPr>
        <w:t>解冻</w:t>
      </w:r>
      <w:r>
        <w:rPr>
          <w:rFonts w:hAnsi="仿宋"/>
          <w:sz w:val="32"/>
          <w:szCs w:val="30"/>
        </w:rPr>
        <w:t>指令转发至相</w:t>
      </w:r>
      <w:r>
        <w:rPr>
          <w:rFonts w:hint="eastAsia" w:hAnsi="仿宋"/>
          <w:sz w:val="32"/>
          <w:szCs w:val="30"/>
        </w:rPr>
        <w:t>关</w:t>
      </w:r>
      <w:r>
        <w:rPr>
          <w:rFonts w:hAnsi="仿宋"/>
          <w:sz w:val="32"/>
          <w:szCs w:val="30"/>
        </w:rPr>
        <w:t>现货清算成员</w:t>
      </w:r>
      <w:r>
        <w:rPr>
          <w:rFonts w:hint="eastAsia" w:hAnsi="仿宋"/>
          <w:sz w:val="32"/>
          <w:szCs w:val="30"/>
        </w:rPr>
        <w:t>。</w:t>
      </w:r>
    </w:p>
    <w:p>
      <w:pPr>
        <w:pStyle w:val="36"/>
        <w:numPr>
          <w:ilvl w:val="0"/>
          <w:numId w:val="3"/>
        </w:numPr>
        <w:spacing w:line="580" w:lineRule="exact"/>
        <w:jc w:val="both"/>
        <w:rPr>
          <w:rFonts w:hAnsi="仿宋"/>
          <w:sz w:val="32"/>
          <w:szCs w:val="30"/>
        </w:rPr>
      </w:pPr>
      <w:r>
        <w:rPr>
          <w:rFonts w:hint="eastAsia" w:hAnsi="仿宋"/>
          <w:sz w:val="32"/>
          <w:szCs w:val="30"/>
        </w:rPr>
        <w:t>根据交易保证金解冻</w:t>
      </w:r>
      <w:r>
        <w:rPr>
          <w:rFonts w:hAnsi="仿宋"/>
          <w:sz w:val="32"/>
          <w:szCs w:val="30"/>
        </w:rPr>
        <w:t>指令</w:t>
      </w:r>
      <w:r>
        <w:rPr>
          <w:rFonts w:hint="eastAsia" w:hAnsi="仿宋"/>
          <w:sz w:val="32"/>
          <w:szCs w:val="30"/>
        </w:rPr>
        <w:t>，现货清算</w:t>
      </w:r>
      <w:r>
        <w:rPr>
          <w:rFonts w:hAnsi="仿宋"/>
          <w:sz w:val="32"/>
          <w:szCs w:val="30"/>
        </w:rPr>
        <w:t>成员</w:t>
      </w:r>
      <w:r>
        <w:rPr>
          <w:rFonts w:hint="eastAsia" w:hAnsi="仿宋"/>
          <w:sz w:val="32"/>
          <w:szCs w:val="30"/>
        </w:rPr>
        <w:t>解冻</w:t>
      </w:r>
      <w:r>
        <w:rPr>
          <w:rFonts w:hAnsi="仿宋"/>
          <w:sz w:val="32"/>
          <w:szCs w:val="30"/>
        </w:rPr>
        <w:t>交易商</w:t>
      </w:r>
      <w:r>
        <w:rPr>
          <w:rFonts w:hint="eastAsia" w:hAnsi="仿宋"/>
          <w:sz w:val="32"/>
          <w:szCs w:val="30"/>
        </w:rPr>
        <w:t>交易保证金</w:t>
      </w:r>
      <w:r>
        <w:rPr>
          <w:rFonts w:hAnsi="仿宋"/>
          <w:sz w:val="32"/>
          <w:szCs w:val="30"/>
        </w:rPr>
        <w:t>，并将</w:t>
      </w:r>
      <w:r>
        <w:rPr>
          <w:rFonts w:hint="eastAsia" w:hAnsi="仿宋"/>
          <w:sz w:val="32"/>
          <w:szCs w:val="30"/>
        </w:rPr>
        <w:t>解冻</w:t>
      </w:r>
      <w:r>
        <w:rPr>
          <w:rFonts w:hAnsi="仿宋"/>
          <w:sz w:val="32"/>
          <w:szCs w:val="30"/>
        </w:rPr>
        <w:t>结果反馈</w:t>
      </w:r>
      <w:r>
        <w:rPr>
          <w:rFonts w:hint="eastAsia" w:hAnsi="仿宋"/>
          <w:sz w:val="32"/>
          <w:szCs w:val="30"/>
        </w:rPr>
        <w:t>至</w:t>
      </w:r>
      <w:r>
        <w:rPr>
          <w:rFonts w:hAnsi="仿宋"/>
          <w:sz w:val="32"/>
          <w:szCs w:val="30"/>
        </w:rPr>
        <w:t>上海清算所，上海清算所将</w:t>
      </w:r>
      <w:r>
        <w:rPr>
          <w:rFonts w:hint="eastAsia" w:hAnsi="仿宋"/>
          <w:sz w:val="32"/>
          <w:szCs w:val="30"/>
        </w:rPr>
        <w:t>解冻</w:t>
      </w:r>
      <w:r>
        <w:rPr>
          <w:rFonts w:hAnsi="仿宋"/>
          <w:sz w:val="32"/>
          <w:szCs w:val="30"/>
        </w:rPr>
        <w:t>结果转发现货</w:t>
      </w:r>
      <w:r>
        <w:rPr>
          <w:rFonts w:hint="eastAsia" w:hAnsi="仿宋"/>
          <w:sz w:val="32"/>
          <w:szCs w:val="30"/>
        </w:rPr>
        <w:t>交易</w:t>
      </w:r>
      <w:r>
        <w:rPr>
          <w:rFonts w:hAnsi="仿宋"/>
          <w:sz w:val="32"/>
          <w:szCs w:val="30"/>
        </w:rPr>
        <w:t>平台。</w:t>
      </w:r>
      <w:r>
        <w:rPr>
          <w:rFonts w:hint="eastAsia" w:hAnsi="仿宋"/>
          <w:sz w:val="32"/>
          <w:szCs w:val="30"/>
        </w:rPr>
        <w:t>同时</w:t>
      </w:r>
      <w:r>
        <w:rPr>
          <w:rFonts w:hAnsi="仿宋"/>
          <w:sz w:val="32"/>
          <w:szCs w:val="30"/>
        </w:rPr>
        <w:t>，上海清算所根据撤销</w:t>
      </w:r>
      <w:r>
        <w:rPr>
          <w:rFonts w:hint="eastAsia" w:hAnsi="仿宋"/>
          <w:sz w:val="32"/>
          <w:szCs w:val="30"/>
        </w:rPr>
        <w:t>申请</w:t>
      </w:r>
      <w:r>
        <w:rPr>
          <w:rFonts w:hAnsi="仿宋"/>
          <w:sz w:val="32"/>
          <w:szCs w:val="30"/>
        </w:rPr>
        <w:t>，</w:t>
      </w:r>
      <w:r>
        <w:rPr>
          <w:rFonts w:hint="eastAsia" w:hAnsi="仿宋"/>
          <w:sz w:val="32"/>
          <w:szCs w:val="30"/>
        </w:rPr>
        <w:t>将该</w:t>
      </w:r>
      <w:r>
        <w:rPr>
          <w:rFonts w:hAnsi="仿宋"/>
          <w:sz w:val="32"/>
          <w:szCs w:val="30"/>
        </w:rPr>
        <w:t>撤销</w:t>
      </w:r>
      <w:r>
        <w:rPr>
          <w:rFonts w:hint="eastAsia" w:hAnsi="仿宋"/>
          <w:sz w:val="32"/>
          <w:szCs w:val="30"/>
        </w:rPr>
        <w:t>申请</w:t>
      </w:r>
      <w:r>
        <w:rPr>
          <w:rFonts w:hAnsi="仿宋"/>
          <w:sz w:val="32"/>
          <w:szCs w:val="30"/>
        </w:rPr>
        <w:t>对应</w:t>
      </w:r>
      <w:r>
        <w:rPr>
          <w:rFonts w:hint="eastAsia" w:hAnsi="仿宋"/>
          <w:sz w:val="32"/>
          <w:szCs w:val="30"/>
        </w:rPr>
        <w:t>的挂单</w:t>
      </w:r>
      <w:r>
        <w:rPr>
          <w:rFonts w:hAnsi="仿宋"/>
          <w:sz w:val="32"/>
          <w:szCs w:val="30"/>
        </w:rPr>
        <w:t>或议价申请</w:t>
      </w:r>
      <w:r>
        <w:rPr>
          <w:rFonts w:hint="eastAsia" w:hAnsi="仿宋"/>
          <w:sz w:val="32"/>
          <w:szCs w:val="30"/>
        </w:rPr>
        <w:t>变更</w:t>
      </w:r>
      <w:r>
        <w:rPr>
          <w:rFonts w:hAnsi="仿宋"/>
          <w:sz w:val="32"/>
          <w:szCs w:val="30"/>
        </w:rPr>
        <w:t>为无效状态。</w:t>
      </w:r>
    </w:p>
    <w:p>
      <w:pPr>
        <w:pStyle w:val="4"/>
        <w:numPr>
          <w:ilvl w:val="0"/>
          <w:numId w:val="4"/>
        </w:numPr>
        <w:spacing w:line="580" w:lineRule="exact"/>
        <w:ind w:left="0" w:firstLine="0"/>
        <w:rPr>
          <w:sz w:val="32"/>
        </w:rPr>
      </w:pPr>
      <w:bookmarkStart w:id="30" w:name="_Toc134628743"/>
      <w:r>
        <w:rPr>
          <w:rFonts w:hint="eastAsia"/>
          <w:sz w:val="32"/>
        </w:rPr>
        <w:t>成交</w:t>
      </w:r>
      <w:r>
        <w:rPr>
          <w:sz w:val="32"/>
        </w:rPr>
        <w:t>数据</w:t>
      </w:r>
      <w:r>
        <w:rPr>
          <w:rFonts w:hint="eastAsia"/>
          <w:sz w:val="32"/>
        </w:rPr>
        <w:t>处理</w:t>
      </w:r>
      <w:bookmarkEnd w:id="30"/>
    </w:p>
    <w:p>
      <w:pPr>
        <w:pStyle w:val="36"/>
        <w:numPr>
          <w:ilvl w:val="0"/>
          <w:numId w:val="3"/>
        </w:numPr>
        <w:spacing w:line="580" w:lineRule="exact"/>
        <w:jc w:val="both"/>
        <w:rPr>
          <w:rFonts w:hAnsi="仿宋"/>
          <w:sz w:val="32"/>
          <w:szCs w:val="30"/>
        </w:rPr>
      </w:pPr>
      <w:r>
        <w:rPr>
          <w:rFonts w:hint="eastAsia" w:hAnsi="仿宋"/>
          <w:sz w:val="32"/>
          <w:szCs w:val="30"/>
        </w:rPr>
        <w:t>交易达成后</w:t>
      </w:r>
      <w:r>
        <w:rPr>
          <w:rFonts w:hAnsi="仿宋"/>
          <w:sz w:val="32"/>
          <w:szCs w:val="30"/>
        </w:rPr>
        <w:t>，</w:t>
      </w:r>
      <w:r>
        <w:rPr>
          <w:rFonts w:hint="eastAsia" w:hAnsi="仿宋"/>
          <w:sz w:val="32"/>
          <w:szCs w:val="30"/>
        </w:rPr>
        <w:t>现货交易平台在工作日规定交易时间内</w:t>
      </w:r>
      <w:r>
        <w:rPr>
          <w:rFonts w:hAnsi="仿宋"/>
          <w:sz w:val="32"/>
          <w:szCs w:val="30"/>
        </w:rPr>
        <w:t>实时将成交</w:t>
      </w:r>
      <w:r>
        <w:rPr>
          <w:rFonts w:hint="eastAsia" w:hAnsi="仿宋"/>
          <w:sz w:val="32"/>
          <w:szCs w:val="30"/>
        </w:rPr>
        <w:t>数据、交易保证金解冻指令及</w:t>
      </w:r>
      <w:r>
        <w:rPr>
          <w:rFonts w:hAnsi="仿宋"/>
          <w:sz w:val="32"/>
          <w:szCs w:val="30"/>
        </w:rPr>
        <w:t>交收</w:t>
      </w:r>
      <w:r>
        <w:rPr>
          <w:rFonts w:hint="eastAsia" w:hAnsi="仿宋"/>
          <w:sz w:val="32"/>
          <w:szCs w:val="30"/>
        </w:rPr>
        <w:t>定金冻结</w:t>
      </w:r>
      <w:r>
        <w:rPr>
          <w:rFonts w:hAnsi="仿宋"/>
          <w:sz w:val="32"/>
          <w:szCs w:val="30"/>
        </w:rPr>
        <w:t>指令发送至上海清算所。</w:t>
      </w:r>
      <w:r>
        <w:rPr>
          <w:rFonts w:hint="eastAsia" w:hAnsi="仿宋"/>
          <w:sz w:val="32"/>
          <w:szCs w:val="30"/>
        </w:rPr>
        <w:t>上海清算所对</w:t>
      </w:r>
      <w:r>
        <w:rPr>
          <w:rFonts w:hAnsi="仿宋"/>
          <w:sz w:val="32"/>
          <w:szCs w:val="30"/>
        </w:rPr>
        <w:t>前述指令进行要素检查。</w:t>
      </w:r>
    </w:p>
    <w:p>
      <w:pPr>
        <w:pStyle w:val="36"/>
        <w:numPr>
          <w:ilvl w:val="0"/>
          <w:numId w:val="3"/>
        </w:numPr>
        <w:spacing w:line="580" w:lineRule="exact"/>
        <w:jc w:val="both"/>
        <w:rPr>
          <w:rFonts w:hAnsi="仿宋"/>
          <w:sz w:val="32"/>
          <w:szCs w:val="30"/>
        </w:rPr>
      </w:pPr>
      <w:r>
        <w:rPr>
          <w:rFonts w:hint="eastAsia" w:hAnsi="仿宋"/>
          <w:sz w:val="32"/>
          <w:szCs w:val="30"/>
        </w:rPr>
        <w:t>要素检查通过后，上海清算所将</w:t>
      </w:r>
      <w:r>
        <w:rPr>
          <w:rFonts w:hAnsi="仿宋"/>
          <w:sz w:val="32"/>
          <w:szCs w:val="30"/>
        </w:rPr>
        <w:t>成交</w:t>
      </w:r>
      <w:r>
        <w:rPr>
          <w:rFonts w:hint="eastAsia" w:hAnsi="仿宋"/>
          <w:sz w:val="32"/>
          <w:szCs w:val="30"/>
        </w:rPr>
        <w:t>数据、交易保证金解冻指令及</w:t>
      </w:r>
      <w:r>
        <w:rPr>
          <w:rFonts w:hAnsi="仿宋"/>
          <w:sz w:val="32"/>
          <w:szCs w:val="30"/>
        </w:rPr>
        <w:t>交收</w:t>
      </w:r>
      <w:r>
        <w:rPr>
          <w:rFonts w:hint="eastAsia" w:hAnsi="仿宋"/>
          <w:sz w:val="32"/>
          <w:szCs w:val="30"/>
        </w:rPr>
        <w:t>定金冻结</w:t>
      </w:r>
      <w:r>
        <w:rPr>
          <w:rFonts w:hAnsi="仿宋"/>
          <w:sz w:val="32"/>
          <w:szCs w:val="30"/>
        </w:rPr>
        <w:t>指令</w:t>
      </w:r>
      <w:r>
        <w:rPr>
          <w:rFonts w:hint="eastAsia" w:hAnsi="仿宋"/>
          <w:sz w:val="32"/>
          <w:szCs w:val="30"/>
        </w:rPr>
        <w:t>转发至相关</w:t>
      </w:r>
      <w:r>
        <w:rPr>
          <w:rFonts w:hAnsi="仿宋"/>
          <w:sz w:val="32"/>
          <w:szCs w:val="30"/>
        </w:rPr>
        <w:t>现货清算成员</w:t>
      </w:r>
      <w:r>
        <w:rPr>
          <w:rFonts w:hint="eastAsia" w:hAnsi="仿宋"/>
          <w:sz w:val="32"/>
          <w:szCs w:val="30"/>
        </w:rPr>
        <w:t>。对于</w:t>
      </w:r>
      <w:r>
        <w:rPr>
          <w:rFonts w:hAnsi="仿宋"/>
          <w:sz w:val="32"/>
          <w:szCs w:val="30"/>
        </w:rPr>
        <w:t>需要进行交易标的信息比对的，上海清算所</w:t>
      </w:r>
      <w:r>
        <w:rPr>
          <w:rFonts w:hint="eastAsia" w:hAnsi="仿宋"/>
          <w:sz w:val="32"/>
          <w:szCs w:val="30"/>
        </w:rPr>
        <w:t>向</w:t>
      </w:r>
      <w:r>
        <w:rPr>
          <w:rFonts w:hAnsi="仿宋"/>
          <w:sz w:val="32"/>
          <w:szCs w:val="30"/>
        </w:rPr>
        <w:t>公示平台</w:t>
      </w:r>
      <w:r>
        <w:rPr>
          <w:rFonts w:hint="eastAsia" w:hAnsi="仿宋"/>
          <w:sz w:val="32"/>
          <w:szCs w:val="30"/>
        </w:rPr>
        <w:t>查询</w:t>
      </w:r>
      <w:r>
        <w:rPr>
          <w:rFonts w:hAnsi="仿宋"/>
          <w:sz w:val="32"/>
          <w:szCs w:val="30"/>
        </w:rPr>
        <w:t>交易标的信息</w:t>
      </w:r>
      <w:r>
        <w:rPr>
          <w:rFonts w:hint="eastAsia" w:hAnsi="仿宋"/>
          <w:sz w:val="32"/>
          <w:szCs w:val="30"/>
        </w:rPr>
        <w:t>并</w:t>
      </w:r>
      <w:r>
        <w:rPr>
          <w:rFonts w:hAnsi="仿宋"/>
          <w:sz w:val="32"/>
          <w:szCs w:val="30"/>
        </w:rPr>
        <w:t>比对</w:t>
      </w:r>
      <w:r>
        <w:rPr>
          <w:rFonts w:hint="eastAsia" w:hAnsi="仿宋"/>
          <w:sz w:val="32"/>
          <w:szCs w:val="30"/>
        </w:rPr>
        <w:t>，</w:t>
      </w:r>
      <w:r>
        <w:rPr>
          <w:rFonts w:hAnsi="仿宋"/>
          <w:sz w:val="32"/>
          <w:szCs w:val="30"/>
        </w:rPr>
        <w:t>比对成功的，</w:t>
      </w:r>
      <w:r>
        <w:rPr>
          <w:rFonts w:hint="eastAsia" w:hAnsi="仿宋"/>
          <w:sz w:val="32"/>
          <w:szCs w:val="30"/>
        </w:rPr>
        <w:t>上海</w:t>
      </w:r>
      <w:r>
        <w:rPr>
          <w:rFonts w:hAnsi="仿宋"/>
          <w:sz w:val="32"/>
          <w:szCs w:val="30"/>
        </w:rPr>
        <w:t>清算所</w:t>
      </w:r>
      <w:r>
        <w:rPr>
          <w:rFonts w:hint="eastAsia" w:hAnsi="仿宋"/>
          <w:sz w:val="32"/>
          <w:szCs w:val="30"/>
        </w:rPr>
        <w:t>将</w:t>
      </w:r>
      <w:r>
        <w:rPr>
          <w:rFonts w:hAnsi="仿宋"/>
          <w:sz w:val="32"/>
          <w:szCs w:val="30"/>
        </w:rPr>
        <w:t>成交</w:t>
      </w:r>
      <w:r>
        <w:rPr>
          <w:rFonts w:hint="eastAsia" w:hAnsi="仿宋"/>
          <w:sz w:val="32"/>
          <w:szCs w:val="30"/>
        </w:rPr>
        <w:t>数据、交易保证金解冻指令及</w:t>
      </w:r>
      <w:r>
        <w:rPr>
          <w:rFonts w:hAnsi="仿宋"/>
          <w:sz w:val="32"/>
          <w:szCs w:val="30"/>
        </w:rPr>
        <w:t>交收</w:t>
      </w:r>
      <w:r>
        <w:rPr>
          <w:rFonts w:hint="eastAsia" w:hAnsi="仿宋"/>
          <w:sz w:val="32"/>
          <w:szCs w:val="30"/>
        </w:rPr>
        <w:t>定金冻结</w:t>
      </w:r>
      <w:r>
        <w:rPr>
          <w:rFonts w:hAnsi="仿宋"/>
          <w:sz w:val="32"/>
          <w:szCs w:val="30"/>
        </w:rPr>
        <w:t>指令</w:t>
      </w:r>
      <w:r>
        <w:rPr>
          <w:rFonts w:hint="eastAsia" w:hAnsi="仿宋"/>
          <w:sz w:val="32"/>
          <w:szCs w:val="30"/>
        </w:rPr>
        <w:t>转发至相关</w:t>
      </w:r>
      <w:r>
        <w:rPr>
          <w:rFonts w:hAnsi="仿宋"/>
          <w:sz w:val="32"/>
          <w:szCs w:val="30"/>
        </w:rPr>
        <w:t>现货</w:t>
      </w:r>
      <w:r>
        <w:rPr>
          <w:rFonts w:hint="eastAsia" w:hAnsi="仿宋"/>
          <w:sz w:val="32"/>
          <w:szCs w:val="30"/>
        </w:rPr>
        <w:t>清算成员。</w:t>
      </w:r>
    </w:p>
    <w:p>
      <w:pPr>
        <w:pStyle w:val="36"/>
        <w:numPr>
          <w:ilvl w:val="0"/>
          <w:numId w:val="3"/>
        </w:numPr>
        <w:spacing w:line="580" w:lineRule="exact"/>
        <w:jc w:val="both"/>
        <w:rPr>
          <w:rFonts w:hAnsi="仿宋"/>
          <w:sz w:val="32"/>
          <w:szCs w:val="30"/>
        </w:rPr>
      </w:pPr>
      <w:r>
        <w:rPr>
          <w:rFonts w:hint="eastAsia" w:hAnsi="仿宋"/>
          <w:sz w:val="32"/>
          <w:szCs w:val="30"/>
        </w:rPr>
        <w:t>根据资金</w:t>
      </w:r>
      <w:r>
        <w:rPr>
          <w:rFonts w:hAnsi="仿宋"/>
          <w:sz w:val="32"/>
          <w:szCs w:val="30"/>
        </w:rPr>
        <w:t>处理指令，现货清算成员</w:t>
      </w:r>
      <w:r>
        <w:rPr>
          <w:rFonts w:hint="eastAsia" w:hAnsi="仿宋"/>
          <w:sz w:val="32"/>
          <w:szCs w:val="30"/>
        </w:rPr>
        <w:t>解冻交易商交易保证金</w:t>
      </w:r>
      <w:r>
        <w:rPr>
          <w:rFonts w:hAnsi="仿宋"/>
          <w:sz w:val="32"/>
          <w:szCs w:val="30"/>
        </w:rPr>
        <w:t>、冻结</w:t>
      </w:r>
      <w:r>
        <w:rPr>
          <w:rFonts w:hint="eastAsia" w:hAnsi="仿宋"/>
          <w:sz w:val="32"/>
          <w:szCs w:val="30"/>
        </w:rPr>
        <w:t>其</w:t>
      </w:r>
      <w:r>
        <w:rPr>
          <w:rFonts w:hAnsi="仿宋"/>
          <w:sz w:val="32"/>
          <w:szCs w:val="30"/>
        </w:rPr>
        <w:t>交收定金，并将处理结果反馈至上海清算所。上海清算所将</w:t>
      </w:r>
      <w:r>
        <w:rPr>
          <w:rFonts w:hint="eastAsia" w:hAnsi="仿宋"/>
          <w:sz w:val="32"/>
          <w:szCs w:val="30"/>
        </w:rPr>
        <w:t>处理结果转发</w:t>
      </w:r>
      <w:r>
        <w:rPr>
          <w:rFonts w:hAnsi="仿宋"/>
          <w:sz w:val="32"/>
          <w:szCs w:val="30"/>
        </w:rPr>
        <w:t>现货</w:t>
      </w:r>
      <w:r>
        <w:rPr>
          <w:rFonts w:hint="eastAsia" w:hAnsi="仿宋"/>
          <w:sz w:val="32"/>
          <w:szCs w:val="30"/>
        </w:rPr>
        <w:t>交易</w:t>
      </w:r>
      <w:r>
        <w:rPr>
          <w:rFonts w:hAnsi="仿宋"/>
          <w:sz w:val="32"/>
          <w:szCs w:val="30"/>
        </w:rPr>
        <w:t>平台</w:t>
      </w:r>
      <w:r>
        <w:rPr>
          <w:rFonts w:hint="eastAsia" w:hAnsi="仿宋"/>
          <w:sz w:val="32"/>
          <w:szCs w:val="30"/>
        </w:rPr>
        <w:t>。</w:t>
      </w:r>
    </w:p>
    <w:p>
      <w:pPr>
        <w:pStyle w:val="36"/>
        <w:numPr>
          <w:ilvl w:val="0"/>
          <w:numId w:val="3"/>
        </w:numPr>
        <w:spacing w:line="580" w:lineRule="exact"/>
        <w:jc w:val="both"/>
        <w:rPr>
          <w:rFonts w:hAnsi="仿宋"/>
          <w:sz w:val="32"/>
          <w:szCs w:val="30"/>
        </w:rPr>
      </w:pPr>
      <w:r>
        <w:rPr>
          <w:rFonts w:hint="eastAsia" w:hAnsi="仿宋"/>
          <w:sz w:val="32"/>
          <w:szCs w:val="30"/>
        </w:rPr>
        <w:t>通过交易标的比对（</w:t>
      </w:r>
      <w:r>
        <w:rPr>
          <w:rFonts w:hAnsi="仿宋"/>
          <w:sz w:val="32"/>
          <w:szCs w:val="30"/>
        </w:rPr>
        <w:t>或有）</w:t>
      </w:r>
      <w:r>
        <w:rPr>
          <w:rFonts w:hint="eastAsia" w:hAnsi="仿宋"/>
          <w:sz w:val="32"/>
          <w:szCs w:val="30"/>
        </w:rPr>
        <w:t>且</w:t>
      </w:r>
      <w:r>
        <w:rPr>
          <w:rFonts w:hAnsi="仿宋"/>
          <w:sz w:val="32"/>
          <w:szCs w:val="30"/>
        </w:rPr>
        <w:t>资金处理成功的</w:t>
      </w:r>
      <w:r>
        <w:rPr>
          <w:rFonts w:hint="eastAsia" w:hAnsi="仿宋"/>
          <w:sz w:val="32"/>
          <w:szCs w:val="30"/>
        </w:rPr>
        <w:t>，成交数据</w:t>
      </w:r>
      <w:r>
        <w:rPr>
          <w:rFonts w:hAnsi="仿宋"/>
          <w:sz w:val="32"/>
          <w:szCs w:val="30"/>
        </w:rPr>
        <w:t>进入待清算状态</w:t>
      </w:r>
      <w:r>
        <w:rPr>
          <w:rFonts w:hint="eastAsia" w:hAnsi="仿宋"/>
          <w:sz w:val="32"/>
          <w:szCs w:val="30"/>
        </w:rPr>
        <w:t>。此后该笔交易不可撤销，不可修改。</w:t>
      </w:r>
    </w:p>
    <w:p>
      <w:pPr>
        <w:pStyle w:val="3"/>
        <w:spacing w:line="580" w:lineRule="exact"/>
        <w:rPr>
          <w:rFonts w:ascii="黑体" w:hAnsi="黑体" w:eastAsia="黑体"/>
          <w:b w:val="0"/>
          <w:sz w:val="32"/>
        </w:rPr>
      </w:pPr>
      <w:bookmarkStart w:id="31" w:name="_Toc414377535"/>
      <w:bookmarkEnd w:id="31"/>
      <w:bookmarkStart w:id="32" w:name="_Toc41292904"/>
      <w:bookmarkStart w:id="33" w:name="_Toc134628744"/>
      <w:r>
        <w:rPr>
          <w:rFonts w:hint="eastAsia" w:ascii="黑体" w:hAnsi="黑体" w:eastAsia="黑体"/>
          <w:b w:val="0"/>
          <w:sz w:val="32"/>
        </w:rPr>
        <w:t>清算与结算</w:t>
      </w:r>
      <w:bookmarkEnd w:id="32"/>
      <w:bookmarkEnd w:id="33"/>
    </w:p>
    <w:p>
      <w:pPr>
        <w:pStyle w:val="36"/>
        <w:numPr>
          <w:ilvl w:val="0"/>
          <w:numId w:val="3"/>
        </w:numPr>
        <w:spacing w:line="580" w:lineRule="exact"/>
        <w:jc w:val="both"/>
        <w:rPr>
          <w:rFonts w:hAnsi="仿宋"/>
          <w:sz w:val="32"/>
          <w:szCs w:val="32"/>
        </w:rPr>
      </w:pPr>
      <w:r>
        <w:rPr>
          <w:rFonts w:hint="eastAsia" w:hAnsi="仿宋"/>
          <w:sz w:val="32"/>
          <w:szCs w:val="32"/>
        </w:rPr>
        <w:t>待清算状态</w:t>
      </w:r>
      <w:r>
        <w:rPr>
          <w:rFonts w:hAnsi="仿宋"/>
          <w:sz w:val="32"/>
          <w:szCs w:val="32"/>
        </w:rPr>
        <w:t>的成交数据将在其对应的清算日</w:t>
      </w:r>
      <w:r>
        <w:rPr>
          <w:rFonts w:hint="eastAsia" w:hAnsi="仿宋"/>
          <w:sz w:val="32"/>
          <w:szCs w:val="32"/>
        </w:rPr>
        <w:t>完成</w:t>
      </w:r>
      <w:r>
        <w:rPr>
          <w:rFonts w:hAnsi="仿宋"/>
          <w:sz w:val="32"/>
          <w:szCs w:val="32"/>
        </w:rPr>
        <w:t>资金清算结算。</w:t>
      </w:r>
      <w:r>
        <w:rPr>
          <w:rFonts w:hint="eastAsia" w:hAnsi="仿宋"/>
          <w:sz w:val="32"/>
          <w:szCs w:val="32"/>
        </w:rPr>
        <w:t>清算模式为全额清算。</w:t>
      </w:r>
    </w:p>
    <w:p>
      <w:pPr>
        <w:pStyle w:val="36"/>
        <w:numPr>
          <w:ilvl w:val="0"/>
          <w:numId w:val="3"/>
        </w:numPr>
        <w:spacing w:line="580" w:lineRule="exact"/>
        <w:jc w:val="both"/>
        <w:rPr>
          <w:rFonts w:hAnsi="仿宋" w:cs="宋体"/>
          <w:sz w:val="32"/>
          <w:szCs w:val="32"/>
        </w:rPr>
      </w:pPr>
      <w:r>
        <w:rPr>
          <w:rFonts w:hint="eastAsia" w:hAnsi="仿宋" w:cs="宋体"/>
          <w:sz w:val="32"/>
          <w:szCs w:val="32"/>
        </w:rPr>
        <w:t>全额清算，</w:t>
      </w:r>
      <w:r>
        <w:rPr>
          <w:rFonts w:hAnsi="仿宋" w:cs="宋体"/>
          <w:sz w:val="32"/>
          <w:szCs w:val="32"/>
        </w:rPr>
        <w:t>指</w:t>
      </w:r>
      <w:r>
        <w:rPr>
          <w:rFonts w:hint="eastAsia" w:hAnsi="仿宋" w:cs="宋体"/>
          <w:sz w:val="32"/>
          <w:szCs w:val="32"/>
        </w:rPr>
        <w:t>上海清算所在清算日对纳入</w:t>
      </w:r>
      <w:r>
        <w:rPr>
          <w:rFonts w:hAnsi="仿宋" w:cs="宋体"/>
          <w:sz w:val="32"/>
          <w:szCs w:val="32"/>
        </w:rPr>
        <w:t>当日清算的</w:t>
      </w:r>
      <w:r>
        <w:rPr>
          <w:rFonts w:hint="eastAsia" w:hAnsi="仿宋" w:cs="宋体"/>
          <w:sz w:val="32"/>
          <w:szCs w:val="32"/>
        </w:rPr>
        <w:t>大宗商品现货</w:t>
      </w:r>
      <w:r>
        <w:rPr>
          <w:rFonts w:hAnsi="仿宋" w:cs="宋体"/>
          <w:sz w:val="32"/>
          <w:szCs w:val="32"/>
        </w:rPr>
        <w:t>交易</w:t>
      </w:r>
      <w:r>
        <w:rPr>
          <w:rFonts w:hint="eastAsia" w:hAnsi="仿宋" w:cs="宋体"/>
          <w:sz w:val="32"/>
          <w:szCs w:val="32"/>
        </w:rPr>
        <w:t>按照</w:t>
      </w:r>
      <w:r>
        <w:rPr>
          <w:rFonts w:hAnsi="仿宋" w:cs="宋体"/>
          <w:sz w:val="32"/>
          <w:szCs w:val="32"/>
        </w:rPr>
        <w:t>逐笔</w:t>
      </w:r>
      <w:r>
        <w:rPr>
          <w:rFonts w:hint="eastAsia" w:hAnsi="仿宋" w:cs="宋体"/>
          <w:sz w:val="32"/>
          <w:szCs w:val="32"/>
        </w:rPr>
        <w:t>、</w:t>
      </w:r>
      <w:r>
        <w:rPr>
          <w:rFonts w:hAnsi="仿宋" w:cs="宋体"/>
          <w:sz w:val="32"/>
          <w:szCs w:val="32"/>
        </w:rPr>
        <w:t>全额</w:t>
      </w:r>
      <w:r>
        <w:rPr>
          <w:rFonts w:hint="eastAsia" w:hAnsi="仿宋" w:cs="宋体"/>
          <w:sz w:val="32"/>
          <w:szCs w:val="32"/>
        </w:rPr>
        <w:t>的</w:t>
      </w:r>
      <w:r>
        <w:rPr>
          <w:rFonts w:hAnsi="仿宋" w:cs="宋体"/>
          <w:sz w:val="32"/>
          <w:szCs w:val="32"/>
        </w:rPr>
        <w:t>方式</w:t>
      </w:r>
      <w:r>
        <w:rPr>
          <w:rFonts w:hint="eastAsia" w:hAnsi="仿宋" w:cs="宋体"/>
          <w:sz w:val="32"/>
          <w:szCs w:val="32"/>
        </w:rPr>
        <w:t>进行</w:t>
      </w:r>
      <w:r>
        <w:rPr>
          <w:rFonts w:hAnsi="仿宋" w:cs="宋体"/>
          <w:sz w:val="32"/>
          <w:szCs w:val="32"/>
        </w:rPr>
        <w:t>资金</w:t>
      </w:r>
      <w:r>
        <w:rPr>
          <w:rFonts w:hint="eastAsia" w:hAnsi="仿宋" w:cs="宋体"/>
          <w:sz w:val="32"/>
          <w:szCs w:val="32"/>
        </w:rPr>
        <w:t>清算结算处理</w:t>
      </w:r>
      <w:r>
        <w:rPr>
          <w:rFonts w:hAnsi="仿宋" w:cs="宋体"/>
          <w:sz w:val="32"/>
          <w:szCs w:val="32"/>
        </w:rPr>
        <w:t>。</w:t>
      </w:r>
    </w:p>
    <w:p>
      <w:pPr>
        <w:pStyle w:val="40"/>
        <w:numPr>
          <w:ilvl w:val="0"/>
          <w:numId w:val="3"/>
        </w:numPr>
        <w:spacing w:line="580" w:lineRule="exact"/>
        <w:ind w:firstLineChars="0"/>
        <w:rPr>
          <w:rFonts w:ascii="仿宋" w:hAnsi="仿宋" w:eastAsia="仿宋" w:cs="仿宋"/>
          <w:color w:val="000000"/>
          <w:kern w:val="0"/>
          <w:sz w:val="32"/>
          <w:szCs w:val="32"/>
        </w:rPr>
      </w:pPr>
      <w:r>
        <w:rPr>
          <w:rFonts w:hint="eastAsia" w:ascii="仿宋" w:hAnsi="仿宋" w:eastAsia="仿宋" w:cs="仿宋"/>
          <w:color w:val="000000"/>
          <w:kern w:val="0"/>
          <w:sz w:val="32"/>
          <w:szCs w:val="32"/>
        </w:rPr>
        <w:t>交易商仅通过现货平台完成大宗商品现货交易的交收的：</w:t>
      </w:r>
    </w:p>
    <w:p>
      <w:pPr>
        <w:spacing w:line="580" w:lineRule="exact"/>
        <w:ind w:left="-141" w:leftChars="-67"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在线下自行达成交易后，将成交数据提交至现货交收平台并由现货交收平台在工作日规定交易时间内实时将成交数据发送至上海清算所。上海清算所对成交数据进行要素检查。</w:t>
      </w:r>
    </w:p>
    <w:p>
      <w:pPr>
        <w:spacing w:line="580" w:lineRule="exact"/>
        <w:ind w:left="-141" w:leftChars="-67"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要素检查通过后，上海清算所将成交数据转发至相关现货清算成员。对于需要进行交易标的信息比对的，上海清算所向公示平台查询交易标的信息并比对，比对成功的，上海清算所将成交数据转发至相关现货清算成员。</w:t>
      </w:r>
    </w:p>
    <w:p>
      <w:pPr>
        <w:spacing w:line="580" w:lineRule="exact"/>
        <w:ind w:left="-141" w:leftChars="-67"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通过交易标的比对（或有）的，成交数据进入待清算状态。此后该笔交易不可撤销，不可修改。</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全额清算</w:t>
      </w:r>
      <w:r>
        <w:rPr>
          <w:rFonts w:ascii="仿宋" w:hAnsi="仿宋" w:eastAsia="仿宋"/>
          <w:sz w:val="32"/>
          <w:szCs w:val="32"/>
        </w:rPr>
        <w:t>支持双边和链式两种交收模式。</w:t>
      </w:r>
    </w:p>
    <w:p>
      <w:pPr>
        <w:spacing w:line="580" w:lineRule="exact"/>
        <w:ind w:left="-141" w:leftChars="-67" w:firstLine="640" w:firstLineChars="200"/>
        <w:rPr>
          <w:rFonts w:ascii="仿宋" w:hAnsi="仿宋" w:eastAsia="仿宋"/>
          <w:sz w:val="32"/>
          <w:szCs w:val="32"/>
        </w:rPr>
      </w:pPr>
      <w:r>
        <w:rPr>
          <w:rFonts w:ascii="仿宋" w:hAnsi="仿宋" w:eastAsia="仿宋"/>
          <w:sz w:val="32"/>
          <w:szCs w:val="32"/>
        </w:rPr>
        <w:t>双边交收</w:t>
      </w:r>
      <w:r>
        <w:rPr>
          <w:rFonts w:hint="eastAsia" w:ascii="仿宋" w:hAnsi="仿宋" w:eastAsia="仿宋"/>
          <w:sz w:val="32"/>
          <w:szCs w:val="32"/>
        </w:rPr>
        <w:t>，指买方支付全额货款、卖方进行交易标的过户的现货交收。</w:t>
      </w:r>
    </w:p>
    <w:p>
      <w:pPr>
        <w:spacing w:line="580" w:lineRule="exact"/>
        <w:ind w:left="-141" w:leftChars="-67" w:firstLine="640" w:firstLineChars="200"/>
        <w:rPr>
          <w:rFonts w:ascii="仿宋" w:hAnsi="仿宋" w:eastAsia="仿宋"/>
          <w:sz w:val="32"/>
          <w:szCs w:val="32"/>
        </w:rPr>
      </w:pPr>
      <w:r>
        <w:rPr>
          <w:rFonts w:hint="eastAsia" w:ascii="仿宋" w:hAnsi="仿宋" w:eastAsia="仿宋"/>
          <w:sz w:val="32"/>
          <w:szCs w:val="32"/>
        </w:rPr>
        <w:t>链式交收，</w:t>
      </w:r>
      <w:r>
        <w:rPr>
          <w:rFonts w:ascii="仿宋" w:hAnsi="仿宋" w:eastAsia="仿宋"/>
          <w:sz w:val="32"/>
          <w:szCs w:val="32"/>
        </w:rPr>
        <w:t>指</w:t>
      </w:r>
      <w:r>
        <w:rPr>
          <w:rFonts w:hint="eastAsia" w:ascii="仿宋" w:hAnsi="仿宋" w:eastAsia="仿宋"/>
          <w:sz w:val="32"/>
          <w:szCs w:val="32"/>
        </w:rPr>
        <w:t>三家或三家以上的交易商基于同一交易标的进行的现货交收。</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双边交收</w:t>
      </w:r>
      <w:r>
        <w:rPr>
          <w:rFonts w:ascii="仿宋" w:hAnsi="仿宋" w:eastAsia="仿宋"/>
          <w:sz w:val="32"/>
          <w:szCs w:val="32"/>
        </w:rPr>
        <w:t>的</w:t>
      </w:r>
      <w:r>
        <w:rPr>
          <w:rFonts w:hint="eastAsia" w:ascii="仿宋" w:hAnsi="仿宋" w:eastAsia="仿宋"/>
          <w:sz w:val="32"/>
          <w:szCs w:val="32"/>
        </w:rPr>
        <w:t>，工作日清算时段，上海清算所实时接收现货平台发送的买方待结算资金冻结指令，并转发至买方现货清算成员。若</w:t>
      </w:r>
      <w:r>
        <w:rPr>
          <w:rFonts w:ascii="仿宋" w:hAnsi="仿宋" w:eastAsia="仿宋"/>
          <w:sz w:val="32"/>
          <w:szCs w:val="32"/>
        </w:rPr>
        <w:t>已冻结交收定金的，冻结交收定金</w:t>
      </w:r>
      <w:r>
        <w:rPr>
          <w:rFonts w:hint="eastAsia" w:ascii="仿宋" w:hAnsi="仿宋" w:eastAsia="仿宋"/>
          <w:sz w:val="32"/>
          <w:szCs w:val="32"/>
        </w:rPr>
        <w:t>与全额</w:t>
      </w:r>
      <w:r>
        <w:rPr>
          <w:rFonts w:ascii="仿宋" w:hAnsi="仿宋" w:eastAsia="仿宋"/>
          <w:sz w:val="32"/>
          <w:szCs w:val="32"/>
        </w:rPr>
        <w:t>货款</w:t>
      </w:r>
      <w:r>
        <w:rPr>
          <w:rFonts w:hint="eastAsia" w:ascii="仿宋" w:hAnsi="仿宋" w:eastAsia="仿宋"/>
          <w:sz w:val="32"/>
          <w:szCs w:val="32"/>
        </w:rPr>
        <w:t>间</w:t>
      </w:r>
      <w:r>
        <w:rPr>
          <w:rFonts w:ascii="仿宋" w:hAnsi="仿宋" w:eastAsia="仿宋"/>
          <w:sz w:val="32"/>
          <w:szCs w:val="32"/>
        </w:rPr>
        <w:t>的差额资金</w:t>
      </w:r>
      <w:r>
        <w:rPr>
          <w:rFonts w:hint="eastAsia" w:ascii="仿宋" w:hAnsi="仿宋" w:eastAsia="仿宋"/>
          <w:sz w:val="32"/>
          <w:szCs w:val="32"/>
        </w:rPr>
        <w:t>；</w:t>
      </w:r>
      <w:r>
        <w:rPr>
          <w:rFonts w:ascii="仿宋" w:hAnsi="仿宋" w:eastAsia="仿宋"/>
          <w:sz w:val="32"/>
          <w:szCs w:val="32"/>
        </w:rPr>
        <w:t>若未冻结交收定金的，冻结全额货款。</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链式交收</w:t>
      </w:r>
      <w:r>
        <w:rPr>
          <w:rFonts w:ascii="仿宋" w:hAnsi="仿宋" w:eastAsia="仿宋"/>
          <w:sz w:val="32"/>
          <w:szCs w:val="32"/>
        </w:rPr>
        <w:t>的</w:t>
      </w:r>
      <w:r>
        <w:rPr>
          <w:rFonts w:hint="eastAsia" w:ascii="仿宋" w:hAnsi="仿宋" w:eastAsia="仿宋"/>
          <w:sz w:val="32"/>
          <w:szCs w:val="32"/>
        </w:rPr>
        <w:t>，工作日清算时段</w:t>
      </w:r>
      <w:r>
        <w:rPr>
          <w:rFonts w:ascii="仿宋" w:hAnsi="仿宋" w:eastAsia="仿宋"/>
          <w:sz w:val="32"/>
          <w:szCs w:val="32"/>
        </w:rPr>
        <w:t>，上海清算所实时接收现货平台发送的买方</w:t>
      </w:r>
      <w:r>
        <w:rPr>
          <w:rFonts w:hint="eastAsia" w:ascii="仿宋" w:hAnsi="仿宋" w:eastAsia="仿宋"/>
          <w:sz w:val="32"/>
          <w:szCs w:val="32"/>
        </w:rPr>
        <w:t>待结算</w:t>
      </w:r>
      <w:r>
        <w:rPr>
          <w:rFonts w:ascii="仿宋" w:hAnsi="仿宋" w:eastAsia="仿宋"/>
          <w:sz w:val="32"/>
          <w:szCs w:val="32"/>
        </w:rPr>
        <w:t>资金冻结指令，并转发至买方现货清算成员。</w:t>
      </w:r>
      <w:r>
        <w:rPr>
          <w:rFonts w:hint="eastAsia" w:ascii="仿宋" w:hAnsi="仿宋" w:eastAsia="仿宋"/>
          <w:sz w:val="32"/>
          <w:szCs w:val="32"/>
        </w:rPr>
        <w:t>对于</w:t>
      </w:r>
      <w:r>
        <w:rPr>
          <w:rFonts w:ascii="仿宋" w:hAnsi="仿宋" w:eastAsia="仿宋"/>
          <w:sz w:val="32"/>
          <w:szCs w:val="32"/>
        </w:rPr>
        <w:t>最终买方，</w:t>
      </w:r>
      <w:r>
        <w:rPr>
          <w:rFonts w:hint="eastAsia" w:ascii="仿宋" w:hAnsi="仿宋" w:eastAsia="仿宋"/>
          <w:sz w:val="32"/>
          <w:szCs w:val="32"/>
        </w:rPr>
        <w:t>若</w:t>
      </w:r>
      <w:r>
        <w:rPr>
          <w:rFonts w:ascii="仿宋" w:hAnsi="仿宋" w:eastAsia="仿宋"/>
          <w:sz w:val="32"/>
          <w:szCs w:val="32"/>
        </w:rPr>
        <w:t>已冻结交收定金的，冻结交收定金</w:t>
      </w:r>
      <w:r>
        <w:rPr>
          <w:rFonts w:hint="eastAsia" w:ascii="仿宋" w:hAnsi="仿宋" w:eastAsia="仿宋"/>
          <w:sz w:val="32"/>
          <w:szCs w:val="32"/>
        </w:rPr>
        <w:t>与全额</w:t>
      </w:r>
      <w:r>
        <w:rPr>
          <w:rFonts w:ascii="仿宋" w:hAnsi="仿宋" w:eastAsia="仿宋"/>
          <w:sz w:val="32"/>
          <w:szCs w:val="32"/>
        </w:rPr>
        <w:t>货款</w:t>
      </w:r>
      <w:r>
        <w:rPr>
          <w:rFonts w:hint="eastAsia" w:ascii="仿宋" w:hAnsi="仿宋" w:eastAsia="仿宋"/>
          <w:sz w:val="32"/>
          <w:szCs w:val="32"/>
        </w:rPr>
        <w:t>间</w:t>
      </w:r>
      <w:r>
        <w:rPr>
          <w:rFonts w:ascii="仿宋" w:hAnsi="仿宋" w:eastAsia="仿宋"/>
          <w:sz w:val="32"/>
          <w:szCs w:val="32"/>
        </w:rPr>
        <w:t>的差额资金，若未冻结交收定金的，冻结全额货款；对于中间交易商，</w:t>
      </w:r>
      <w:r>
        <w:rPr>
          <w:rFonts w:hint="eastAsia" w:ascii="仿宋" w:hAnsi="仿宋" w:eastAsia="仿宋"/>
          <w:sz w:val="32"/>
          <w:szCs w:val="32"/>
        </w:rPr>
        <w:t>冻结其应付资金与应收资金间的</w:t>
      </w:r>
      <w:r>
        <w:rPr>
          <w:rFonts w:ascii="仿宋" w:hAnsi="仿宋" w:eastAsia="仿宋"/>
          <w:sz w:val="32"/>
          <w:szCs w:val="32"/>
        </w:rPr>
        <w:t>差额资金。</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根据买方待结算资金冻结指令，现货清算</w:t>
      </w:r>
      <w:r>
        <w:rPr>
          <w:rFonts w:ascii="仿宋" w:hAnsi="仿宋" w:eastAsia="仿宋"/>
          <w:sz w:val="32"/>
          <w:szCs w:val="32"/>
        </w:rPr>
        <w:t>成员</w:t>
      </w:r>
      <w:r>
        <w:rPr>
          <w:rFonts w:hint="eastAsia" w:ascii="仿宋" w:hAnsi="仿宋" w:eastAsia="仿宋"/>
          <w:sz w:val="32"/>
          <w:szCs w:val="32"/>
        </w:rPr>
        <w:t>冻结</w:t>
      </w:r>
      <w:r>
        <w:rPr>
          <w:rFonts w:ascii="仿宋" w:hAnsi="仿宋" w:eastAsia="仿宋"/>
          <w:sz w:val="32"/>
          <w:szCs w:val="32"/>
        </w:rPr>
        <w:t>买方</w:t>
      </w:r>
      <w:r>
        <w:rPr>
          <w:rFonts w:hint="eastAsia" w:ascii="仿宋" w:hAnsi="仿宋" w:eastAsia="仿宋"/>
          <w:sz w:val="32"/>
          <w:szCs w:val="32"/>
        </w:rPr>
        <w:t>全额</w:t>
      </w:r>
      <w:r>
        <w:rPr>
          <w:rFonts w:ascii="仿宋" w:hAnsi="仿宋" w:eastAsia="仿宋"/>
          <w:sz w:val="32"/>
          <w:szCs w:val="32"/>
        </w:rPr>
        <w:t>货款或差额资金，并将冻结结果反馈至上海清算所。</w:t>
      </w:r>
    </w:p>
    <w:p>
      <w:pPr>
        <w:pStyle w:val="5"/>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交易商资金冻结成功且买卖双方对应同一现货清算成员的，上海清算所将相关资金冻结成功信息发送现货平台，现货平台实时完成交易标的过户或告知交易商完成交易标的过户，同时相关现货清算成员完成买卖双方的资金结算，</w:t>
      </w:r>
      <w:r>
        <w:rPr>
          <w:rFonts w:ascii="仿宋" w:hAnsi="仿宋" w:eastAsia="仿宋"/>
          <w:sz w:val="32"/>
          <w:szCs w:val="32"/>
        </w:rPr>
        <w:t>及时、足额</w:t>
      </w:r>
      <w:r>
        <w:rPr>
          <w:rFonts w:hint="eastAsia" w:ascii="仿宋" w:hAnsi="仿宋" w:eastAsia="仿宋"/>
          <w:sz w:val="32"/>
          <w:szCs w:val="32"/>
        </w:rPr>
        <w:t>扣收买方</w:t>
      </w:r>
      <w:r>
        <w:rPr>
          <w:rFonts w:ascii="仿宋" w:hAnsi="仿宋" w:eastAsia="仿宋"/>
          <w:sz w:val="32"/>
          <w:szCs w:val="32"/>
        </w:rPr>
        <w:t>应付资金</w:t>
      </w:r>
      <w:r>
        <w:rPr>
          <w:rFonts w:hint="eastAsia" w:ascii="仿宋" w:hAnsi="仿宋" w:eastAsia="仿宋"/>
          <w:sz w:val="32"/>
          <w:szCs w:val="32"/>
        </w:rPr>
        <w:t>并支付</w:t>
      </w:r>
      <w:r>
        <w:rPr>
          <w:rFonts w:ascii="仿宋" w:hAnsi="仿宋" w:eastAsia="仿宋"/>
          <w:sz w:val="32"/>
          <w:szCs w:val="32"/>
        </w:rPr>
        <w:t>卖方</w:t>
      </w:r>
      <w:r>
        <w:rPr>
          <w:rFonts w:hint="eastAsia" w:ascii="仿宋" w:hAnsi="仿宋" w:eastAsia="仿宋"/>
          <w:sz w:val="32"/>
          <w:szCs w:val="32"/>
        </w:rPr>
        <w:t>应收</w:t>
      </w:r>
      <w:r>
        <w:rPr>
          <w:rFonts w:ascii="仿宋" w:hAnsi="仿宋" w:eastAsia="仿宋"/>
          <w:sz w:val="32"/>
          <w:szCs w:val="32"/>
        </w:rPr>
        <w:t>资金</w:t>
      </w:r>
      <w:r>
        <w:rPr>
          <w:rFonts w:hint="eastAsia" w:ascii="仿宋" w:hAnsi="仿宋" w:eastAsia="仿宋"/>
          <w:sz w:val="32"/>
          <w:szCs w:val="32"/>
        </w:rPr>
        <w:t>。</w:t>
      </w:r>
    </w:p>
    <w:p>
      <w:pPr>
        <w:pStyle w:val="5"/>
        <w:numPr>
          <w:ilvl w:val="0"/>
          <w:numId w:val="3"/>
        </w:numPr>
        <w:spacing w:line="580" w:lineRule="exact"/>
        <w:ind w:firstLineChars="0"/>
        <w:rPr>
          <w:rFonts w:ascii="仿宋" w:hAnsi="仿宋" w:eastAsia="仿宋"/>
          <w:kern w:val="0"/>
          <w:sz w:val="32"/>
          <w:szCs w:val="32"/>
        </w:rPr>
      </w:pPr>
      <w:r>
        <w:rPr>
          <w:rFonts w:hint="eastAsia" w:ascii="仿宋" w:hAnsi="仿宋" w:eastAsia="仿宋"/>
          <w:sz w:val="32"/>
          <w:szCs w:val="32"/>
        </w:rPr>
        <w:t>交易商资金冻结成功且买卖双方对应不同现货清算成员的，</w:t>
      </w:r>
      <w:r>
        <w:rPr>
          <w:rFonts w:hint="eastAsia" w:ascii="仿宋" w:hAnsi="仿宋" w:eastAsia="仿宋"/>
          <w:kern w:val="0"/>
          <w:sz w:val="32"/>
          <w:szCs w:val="32"/>
        </w:rPr>
        <w:t>上海清算所将相关资金冻结成功信息发送现货平台，并向大额</w:t>
      </w:r>
      <w:r>
        <w:rPr>
          <w:rFonts w:ascii="仿宋" w:hAnsi="仿宋" w:eastAsia="仿宋"/>
          <w:kern w:val="0"/>
          <w:sz w:val="32"/>
          <w:szCs w:val="32"/>
        </w:rPr>
        <w:t>支付系统</w:t>
      </w:r>
      <w:r>
        <w:rPr>
          <w:rFonts w:hint="eastAsia" w:ascii="仿宋" w:hAnsi="仿宋" w:eastAsia="仿宋"/>
          <w:kern w:val="0"/>
          <w:sz w:val="32"/>
          <w:szCs w:val="32"/>
        </w:rPr>
        <w:t>发送即时</w:t>
      </w:r>
      <w:r>
        <w:rPr>
          <w:rFonts w:ascii="仿宋" w:hAnsi="仿宋" w:eastAsia="仿宋"/>
          <w:kern w:val="0"/>
          <w:sz w:val="32"/>
          <w:szCs w:val="32"/>
        </w:rPr>
        <w:t>转账报文，</w:t>
      </w:r>
      <w:r>
        <w:rPr>
          <w:rFonts w:hint="eastAsia" w:ascii="仿宋" w:hAnsi="仿宋" w:eastAsia="仿宋"/>
          <w:kern w:val="0"/>
          <w:sz w:val="32"/>
          <w:szCs w:val="32"/>
        </w:rPr>
        <w:t>大额</w:t>
      </w:r>
      <w:r>
        <w:rPr>
          <w:rFonts w:ascii="仿宋" w:hAnsi="仿宋" w:eastAsia="仿宋"/>
          <w:kern w:val="0"/>
          <w:sz w:val="32"/>
          <w:szCs w:val="32"/>
        </w:rPr>
        <w:t>支付系统根据报文</w:t>
      </w:r>
      <w:r>
        <w:rPr>
          <w:rFonts w:hint="eastAsia" w:ascii="仿宋" w:hAnsi="仿宋" w:eastAsia="仿宋"/>
          <w:kern w:val="0"/>
          <w:sz w:val="32"/>
          <w:szCs w:val="32"/>
        </w:rPr>
        <w:t>将应付资金由买方现货清算成员大额支付系统清算账户划转至卖方现货清算成员大额支付系统清算账户，现货平台实时完成交易标的过户或告知交易商完成交易标的过户，同时现货清算成员与</w:t>
      </w:r>
      <w:r>
        <w:rPr>
          <w:rFonts w:ascii="仿宋" w:hAnsi="仿宋" w:eastAsia="仿宋"/>
          <w:kern w:val="0"/>
          <w:sz w:val="32"/>
          <w:szCs w:val="32"/>
        </w:rPr>
        <w:t>交易商进行资金结算，</w:t>
      </w:r>
      <w:r>
        <w:rPr>
          <w:rFonts w:hint="eastAsia" w:ascii="仿宋" w:hAnsi="仿宋" w:eastAsia="仿宋"/>
          <w:kern w:val="0"/>
          <w:sz w:val="32"/>
          <w:szCs w:val="32"/>
        </w:rPr>
        <w:t>买方</w:t>
      </w:r>
      <w:r>
        <w:rPr>
          <w:rFonts w:ascii="仿宋" w:hAnsi="仿宋" w:eastAsia="仿宋"/>
          <w:kern w:val="0"/>
          <w:sz w:val="32"/>
          <w:szCs w:val="32"/>
        </w:rPr>
        <w:t>现货清算成员及时、足额</w:t>
      </w:r>
      <w:r>
        <w:rPr>
          <w:rFonts w:hint="eastAsia" w:ascii="仿宋" w:hAnsi="仿宋" w:eastAsia="仿宋"/>
          <w:kern w:val="0"/>
          <w:sz w:val="32"/>
          <w:szCs w:val="32"/>
        </w:rPr>
        <w:t>扣收买方</w:t>
      </w:r>
      <w:r>
        <w:rPr>
          <w:rFonts w:ascii="仿宋" w:hAnsi="仿宋" w:eastAsia="仿宋"/>
          <w:kern w:val="0"/>
          <w:sz w:val="32"/>
          <w:szCs w:val="32"/>
        </w:rPr>
        <w:t>应付资金，</w:t>
      </w:r>
      <w:r>
        <w:rPr>
          <w:rFonts w:hint="eastAsia" w:ascii="仿宋" w:hAnsi="仿宋" w:eastAsia="仿宋"/>
          <w:kern w:val="0"/>
          <w:sz w:val="32"/>
          <w:szCs w:val="32"/>
        </w:rPr>
        <w:t>卖方现货</w:t>
      </w:r>
      <w:r>
        <w:rPr>
          <w:rFonts w:ascii="仿宋" w:hAnsi="仿宋" w:eastAsia="仿宋"/>
          <w:kern w:val="0"/>
          <w:sz w:val="32"/>
          <w:szCs w:val="32"/>
        </w:rPr>
        <w:t>清算成员及时、足额</w:t>
      </w:r>
      <w:r>
        <w:rPr>
          <w:rFonts w:hint="eastAsia" w:ascii="仿宋" w:hAnsi="仿宋" w:eastAsia="仿宋"/>
          <w:kern w:val="0"/>
          <w:sz w:val="32"/>
          <w:szCs w:val="32"/>
        </w:rPr>
        <w:t>支付</w:t>
      </w:r>
      <w:r>
        <w:rPr>
          <w:rFonts w:ascii="仿宋" w:hAnsi="仿宋" w:eastAsia="仿宋"/>
          <w:kern w:val="0"/>
          <w:sz w:val="32"/>
          <w:szCs w:val="32"/>
        </w:rPr>
        <w:t>卖方</w:t>
      </w:r>
      <w:r>
        <w:rPr>
          <w:rFonts w:hint="eastAsia" w:ascii="仿宋" w:hAnsi="仿宋" w:eastAsia="仿宋"/>
          <w:kern w:val="0"/>
          <w:sz w:val="32"/>
          <w:szCs w:val="32"/>
        </w:rPr>
        <w:t>应收</w:t>
      </w:r>
      <w:r>
        <w:rPr>
          <w:rFonts w:ascii="仿宋" w:hAnsi="仿宋" w:eastAsia="仿宋"/>
          <w:kern w:val="0"/>
          <w:sz w:val="32"/>
          <w:szCs w:val="32"/>
        </w:rPr>
        <w:t>资金。</w:t>
      </w:r>
      <w:r>
        <w:rPr>
          <w:rFonts w:hint="eastAsia" w:ascii="仿宋" w:hAnsi="仿宋" w:eastAsia="仿宋"/>
          <w:kern w:val="0"/>
          <w:sz w:val="32"/>
          <w:szCs w:val="32"/>
        </w:rPr>
        <w:t xml:space="preserve"> </w:t>
      </w:r>
    </w:p>
    <w:p>
      <w:pPr>
        <w:pStyle w:val="5"/>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任意交易商资金冻结</w:t>
      </w:r>
      <w:r>
        <w:rPr>
          <w:rFonts w:ascii="仿宋" w:hAnsi="仿宋" w:eastAsia="仿宋"/>
          <w:sz w:val="32"/>
          <w:szCs w:val="32"/>
        </w:rPr>
        <w:t>失败的，</w:t>
      </w:r>
      <w:r>
        <w:rPr>
          <w:rFonts w:hint="eastAsia" w:ascii="仿宋" w:hAnsi="仿宋" w:eastAsia="仿宋"/>
          <w:sz w:val="32"/>
          <w:szCs w:val="32"/>
        </w:rPr>
        <w:t>相关</w:t>
      </w:r>
      <w:r>
        <w:rPr>
          <w:rFonts w:ascii="仿宋" w:hAnsi="仿宋" w:eastAsia="仿宋"/>
          <w:sz w:val="32"/>
          <w:szCs w:val="32"/>
        </w:rPr>
        <w:t>交易结算失败</w:t>
      </w:r>
      <w:r>
        <w:rPr>
          <w:rFonts w:hint="eastAsia" w:ascii="仿宋" w:hAnsi="仿宋" w:eastAsia="仿宋"/>
          <w:sz w:val="32"/>
          <w:szCs w:val="32"/>
        </w:rPr>
        <w:t>，上海清算所及相关现货清算成员均不承担任何责任。</w:t>
      </w:r>
    </w:p>
    <w:p>
      <w:pPr>
        <w:pStyle w:val="5"/>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任意</w:t>
      </w:r>
      <w:r>
        <w:rPr>
          <w:rFonts w:ascii="仿宋" w:hAnsi="仿宋" w:eastAsia="仿宋"/>
          <w:sz w:val="32"/>
          <w:szCs w:val="32"/>
        </w:rPr>
        <w:t>买方</w:t>
      </w:r>
      <w:r>
        <w:rPr>
          <w:rFonts w:hint="eastAsia" w:ascii="仿宋" w:hAnsi="仿宋" w:eastAsia="仿宋"/>
          <w:sz w:val="32"/>
          <w:szCs w:val="32"/>
        </w:rPr>
        <w:t>现货</w:t>
      </w:r>
      <w:r>
        <w:rPr>
          <w:rFonts w:ascii="仿宋" w:hAnsi="仿宋" w:eastAsia="仿宋"/>
          <w:sz w:val="32"/>
          <w:szCs w:val="32"/>
        </w:rPr>
        <w:t>清算成员</w:t>
      </w:r>
      <w:r>
        <w:rPr>
          <w:rFonts w:hint="eastAsia" w:ascii="仿宋" w:hAnsi="仿宋" w:eastAsia="仿宋"/>
          <w:sz w:val="32"/>
          <w:szCs w:val="32"/>
        </w:rPr>
        <w:t>应付资金</w:t>
      </w:r>
      <w:r>
        <w:rPr>
          <w:rFonts w:ascii="仿宋" w:hAnsi="仿宋" w:eastAsia="仿宋"/>
          <w:sz w:val="32"/>
          <w:szCs w:val="32"/>
        </w:rPr>
        <w:t>扣收</w:t>
      </w:r>
      <w:r>
        <w:rPr>
          <w:rFonts w:hint="eastAsia" w:ascii="仿宋" w:hAnsi="仿宋" w:eastAsia="仿宋"/>
          <w:sz w:val="32"/>
          <w:szCs w:val="32"/>
        </w:rPr>
        <w:t>失败</w:t>
      </w:r>
      <w:r>
        <w:rPr>
          <w:rFonts w:ascii="仿宋" w:hAnsi="仿宋" w:eastAsia="仿宋"/>
          <w:sz w:val="32"/>
          <w:szCs w:val="32"/>
        </w:rPr>
        <w:t>的，</w:t>
      </w:r>
      <w:r>
        <w:rPr>
          <w:rFonts w:hint="eastAsia" w:ascii="仿宋" w:hAnsi="仿宋" w:eastAsia="仿宋"/>
          <w:sz w:val="32"/>
          <w:szCs w:val="32"/>
        </w:rPr>
        <w:t>相关</w:t>
      </w:r>
      <w:r>
        <w:rPr>
          <w:rFonts w:ascii="仿宋" w:hAnsi="仿宋" w:eastAsia="仿宋"/>
          <w:sz w:val="32"/>
          <w:szCs w:val="32"/>
        </w:rPr>
        <w:t>交易结算失败</w:t>
      </w:r>
      <w:r>
        <w:rPr>
          <w:rFonts w:hint="eastAsia" w:ascii="仿宋" w:hAnsi="仿宋" w:eastAsia="仿宋"/>
          <w:sz w:val="32"/>
          <w:szCs w:val="32"/>
        </w:rPr>
        <w:t>；由此造成</w:t>
      </w:r>
      <w:r>
        <w:rPr>
          <w:rFonts w:ascii="仿宋" w:hAnsi="仿宋" w:eastAsia="仿宋"/>
          <w:sz w:val="32"/>
          <w:szCs w:val="32"/>
        </w:rPr>
        <w:t>交易商损失的，</w:t>
      </w:r>
      <w:r>
        <w:rPr>
          <w:rFonts w:hint="eastAsia" w:ascii="仿宋" w:hAnsi="仿宋" w:eastAsia="仿宋"/>
          <w:sz w:val="32"/>
          <w:szCs w:val="32"/>
        </w:rPr>
        <w:t>由交易商根据其与</w:t>
      </w:r>
      <w:r>
        <w:rPr>
          <w:rFonts w:ascii="仿宋" w:hAnsi="仿宋" w:eastAsia="仿宋"/>
          <w:sz w:val="32"/>
          <w:szCs w:val="32"/>
        </w:rPr>
        <w:t>现货清算成员</w:t>
      </w:r>
      <w:r>
        <w:rPr>
          <w:rFonts w:hint="eastAsia" w:ascii="仿宋" w:hAnsi="仿宋" w:eastAsia="仿宋"/>
          <w:sz w:val="32"/>
          <w:szCs w:val="32"/>
        </w:rPr>
        <w:t>签订</w:t>
      </w:r>
      <w:r>
        <w:rPr>
          <w:rFonts w:ascii="仿宋" w:hAnsi="仿宋" w:eastAsia="仿宋"/>
          <w:sz w:val="32"/>
          <w:szCs w:val="32"/>
        </w:rPr>
        <w:t>的协议追究该现货清算成员责任，</w:t>
      </w:r>
      <w:r>
        <w:rPr>
          <w:rFonts w:hint="eastAsia" w:ascii="仿宋" w:hAnsi="仿宋" w:eastAsia="仿宋"/>
          <w:sz w:val="32"/>
          <w:szCs w:val="32"/>
        </w:rPr>
        <w:t>上海清算所不承担相关责任。</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清算费</w:t>
      </w:r>
      <w:r>
        <w:rPr>
          <w:rFonts w:ascii="仿宋" w:hAnsi="仿宋" w:eastAsia="仿宋"/>
          <w:sz w:val="32"/>
          <w:szCs w:val="32"/>
        </w:rPr>
        <w:t>等相关费用</w:t>
      </w:r>
      <w:r>
        <w:rPr>
          <w:rFonts w:hint="eastAsia" w:ascii="仿宋" w:hAnsi="仿宋" w:eastAsia="仿宋"/>
          <w:sz w:val="32"/>
          <w:szCs w:val="32"/>
        </w:rPr>
        <w:t>每日计算</w:t>
      </w:r>
      <w:r>
        <w:rPr>
          <w:rFonts w:ascii="仿宋" w:hAnsi="仿宋" w:eastAsia="仿宋"/>
          <w:sz w:val="32"/>
          <w:szCs w:val="32"/>
        </w:rPr>
        <w:t>、定期计收，相关金额纳入每日</w:t>
      </w:r>
      <w:r>
        <w:rPr>
          <w:rFonts w:hint="eastAsia" w:ascii="仿宋" w:hAnsi="仿宋" w:eastAsia="仿宋"/>
          <w:sz w:val="32"/>
          <w:szCs w:val="32"/>
        </w:rPr>
        <w:t>费用</w:t>
      </w:r>
      <w:r>
        <w:rPr>
          <w:rFonts w:ascii="仿宋" w:hAnsi="仿宋" w:eastAsia="仿宋"/>
          <w:sz w:val="32"/>
          <w:szCs w:val="32"/>
        </w:rPr>
        <w:t>清单。</w:t>
      </w:r>
    </w:p>
    <w:p>
      <w:pPr>
        <w:pStyle w:val="36"/>
        <w:numPr>
          <w:ilvl w:val="0"/>
          <w:numId w:val="3"/>
        </w:numPr>
        <w:spacing w:line="580" w:lineRule="exact"/>
        <w:jc w:val="both"/>
        <w:rPr>
          <w:rFonts w:hAnsi="仿宋"/>
          <w:sz w:val="32"/>
          <w:szCs w:val="32"/>
        </w:rPr>
      </w:pPr>
      <w:r>
        <w:rPr>
          <w:rFonts w:hint="eastAsia" w:hAnsi="仿宋"/>
          <w:sz w:val="32"/>
          <w:szCs w:val="32"/>
        </w:rPr>
        <w:t>上海</w:t>
      </w:r>
      <w:r>
        <w:rPr>
          <w:rFonts w:hAnsi="仿宋"/>
          <w:sz w:val="32"/>
          <w:szCs w:val="32"/>
        </w:rPr>
        <w:t>清算所</w:t>
      </w:r>
      <w:r>
        <w:rPr>
          <w:rFonts w:hint="eastAsia" w:hAnsi="仿宋"/>
          <w:sz w:val="32"/>
          <w:szCs w:val="32"/>
        </w:rPr>
        <w:t>可根据现货平台发送的尾款结算指令以及违约赔偿指令，完成相应处理。相关指令与实际不符的，由此</w:t>
      </w:r>
      <w:r>
        <w:rPr>
          <w:rFonts w:hAnsi="仿宋"/>
          <w:sz w:val="32"/>
          <w:szCs w:val="32"/>
        </w:rPr>
        <w:t>造成的损失</w:t>
      </w:r>
      <w:r>
        <w:rPr>
          <w:rFonts w:hint="eastAsia" w:hAnsi="仿宋"/>
          <w:sz w:val="32"/>
          <w:szCs w:val="32"/>
        </w:rPr>
        <w:t>由现货平台承担责任。</w:t>
      </w:r>
    </w:p>
    <w:p>
      <w:pPr>
        <w:pStyle w:val="3"/>
        <w:tabs>
          <w:tab w:val="left" w:pos="0"/>
        </w:tabs>
        <w:spacing w:line="580" w:lineRule="exact"/>
        <w:ind w:left="0" w:firstLine="0"/>
        <w:rPr>
          <w:rFonts w:ascii="黑体" w:hAnsi="黑体" w:eastAsia="黑体"/>
          <w:b w:val="0"/>
          <w:sz w:val="32"/>
          <w:szCs w:val="32"/>
        </w:rPr>
      </w:pPr>
      <w:bookmarkStart w:id="34" w:name="_Toc134628745"/>
      <w:r>
        <w:rPr>
          <w:rFonts w:hint="eastAsia" w:ascii="黑体" w:hAnsi="黑体" w:eastAsia="黑体"/>
          <w:b w:val="0"/>
          <w:sz w:val="32"/>
          <w:szCs w:val="32"/>
        </w:rPr>
        <w:t>数字人民币</w:t>
      </w:r>
      <w:bookmarkEnd w:id="34"/>
      <w:r>
        <w:rPr>
          <w:rFonts w:hint="eastAsia" w:ascii="黑体" w:hAnsi="黑体" w:eastAsia="黑体" w:cs="黑体"/>
          <w:b w:val="0"/>
          <w:bCs w:val="0"/>
          <w:kern w:val="2"/>
          <w:sz w:val="32"/>
          <w:szCs w:val="32"/>
        </w:rPr>
        <w:t>业务</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本业务支持市场参与者使用数字人民币进行清算结算。</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交易商在参与数字人民币清算结算前，需开立数字人民币对公钱包，与支持使用该数字人民币对公钱包参与本业务的现货清算成员签订协议。</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交易商在参与数字人民币清算结算时，应确保其数字人民币对公钱包中资金足额、相关资金收付不超过数字人民币对公钱包限额，避免因资金不足或资金收付超限造成结算失败。</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参与数字人民币清算结算的现货清算成员应向上海清算所提交加盖公章的以下材料：</w:t>
      </w:r>
    </w:p>
    <w:p>
      <w:pPr>
        <w:pStyle w:val="37"/>
        <w:spacing w:line="580" w:lineRule="exact"/>
        <w:ind w:left="-147" w:firstLine="640"/>
        <w:rPr>
          <w:rFonts w:ascii="仿宋" w:hAnsi="仿宋" w:eastAsia="仿宋"/>
          <w:sz w:val="32"/>
          <w:szCs w:val="32"/>
        </w:rPr>
      </w:pPr>
      <w:r>
        <w:rPr>
          <w:rFonts w:hint="eastAsia" w:ascii="仿宋" w:hAnsi="仿宋" w:eastAsia="仿宋"/>
          <w:sz w:val="32"/>
          <w:szCs w:val="32"/>
        </w:rPr>
        <w:t>（一）数字人民币指定运营机构需提供其资质的相关证明文件；非指定运营机构需提供与指定运营机构签署的合作接入数字人民币互联互通平台服务协议复印件；通过集中接入</w:t>
      </w:r>
      <w:r>
        <w:rPr>
          <w:rFonts w:ascii="仿宋" w:hAnsi="仿宋" w:eastAsia="仿宋"/>
          <w:sz w:val="32"/>
          <w:szCs w:val="32"/>
        </w:rPr>
        <w:t>机构</w:t>
      </w:r>
      <w:r>
        <w:rPr>
          <w:rFonts w:hint="eastAsia" w:ascii="仿宋" w:hAnsi="仿宋" w:eastAsia="仿宋"/>
          <w:sz w:val="32"/>
          <w:szCs w:val="32"/>
        </w:rPr>
        <w:t>代理</w:t>
      </w:r>
      <w:r>
        <w:rPr>
          <w:rFonts w:ascii="仿宋" w:hAnsi="仿宋" w:eastAsia="仿宋"/>
          <w:sz w:val="32"/>
          <w:szCs w:val="32"/>
        </w:rPr>
        <w:t>接入</w:t>
      </w:r>
      <w:r>
        <w:rPr>
          <w:rFonts w:hint="eastAsia" w:ascii="仿宋" w:hAnsi="仿宋" w:eastAsia="仿宋"/>
          <w:sz w:val="32"/>
          <w:szCs w:val="32"/>
        </w:rPr>
        <w:t>数字人民币互联互通平台</w:t>
      </w:r>
      <w:r>
        <w:rPr>
          <w:rFonts w:ascii="仿宋" w:hAnsi="仿宋" w:eastAsia="仿宋"/>
          <w:sz w:val="32"/>
          <w:szCs w:val="32"/>
        </w:rPr>
        <w:t>的</w:t>
      </w:r>
      <w:r>
        <w:rPr>
          <w:rFonts w:hint="eastAsia" w:ascii="仿宋" w:hAnsi="仿宋" w:eastAsia="仿宋"/>
          <w:sz w:val="32"/>
          <w:szCs w:val="32"/>
        </w:rPr>
        <w:t>机构需提供</w:t>
      </w:r>
      <w:r>
        <w:rPr>
          <w:rFonts w:ascii="仿宋" w:hAnsi="仿宋" w:eastAsia="仿宋"/>
          <w:sz w:val="32"/>
          <w:szCs w:val="32"/>
        </w:rPr>
        <w:t>与</w:t>
      </w:r>
      <w:r>
        <w:rPr>
          <w:rFonts w:hint="eastAsia" w:ascii="仿宋" w:hAnsi="仿宋" w:eastAsia="仿宋"/>
          <w:sz w:val="32"/>
          <w:szCs w:val="32"/>
        </w:rPr>
        <w:t>集中接入</w:t>
      </w:r>
      <w:r>
        <w:rPr>
          <w:rFonts w:ascii="仿宋" w:hAnsi="仿宋" w:eastAsia="仿宋"/>
          <w:sz w:val="32"/>
          <w:szCs w:val="32"/>
        </w:rPr>
        <w:t>机构签署的代理接入</w:t>
      </w:r>
      <w:r>
        <w:rPr>
          <w:rFonts w:hint="eastAsia" w:ascii="仿宋" w:hAnsi="仿宋" w:eastAsia="仿宋"/>
          <w:sz w:val="32"/>
          <w:szCs w:val="32"/>
        </w:rPr>
        <w:t>数字人民币互联互通平台服务协议复印件。</w:t>
      </w:r>
    </w:p>
    <w:p>
      <w:pPr>
        <w:pStyle w:val="37"/>
        <w:spacing w:line="580" w:lineRule="exact"/>
        <w:ind w:left="-147" w:firstLine="640"/>
        <w:rPr>
          <w:rFonts w:ascii="仿宋" w:hAnsi="仿宋" w:eastAsia="仿宋"/>
          <w:sz w:val="32"/>
          <w:szCs w:val="32"/>
        </w:rPr>
      </w:pPr>
      <w:r>
        <w:rPr>
          <w:rFonts w:hint="eastAsia" w:ascii="仿宋" w:hAnsi="仿宋" w:eastAsia="仿宋"/>
          <w:sz w:val="32"/>
          <w:szCs w:val="32"/>
        </w:rPr>
        <w:t>（二）清算业务协议补充协议。</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参与数字人民币清算结算的现货清算成员为交易商开立用于存放交易商交纳的交易保证金、交收定金、结算资金及相关款项的数字人民币对公钱包，确保内部业务和系统可适配数字人民币清算结算要求，支持通过数字人民币对公钱包与相关交易商进行交易保证金、交收定金、结算资金、费用及相关款项的结算。</w:t>
      </w:r>
    </w:p>
    <w:p>
      <w:pPr>
        <w:pStyle w:val="40"/>
        <w:numPr>
          <w:ilvl w:val="0"/>
          <w:numId w:val="3"/>
        </w:numPr>
        <w:spacing w:line="580" w:lineRule="exact"/>
        <w:ind w:left="-147" w:firstLine="600" w:firstLineChars="0"/>
        <w:rPr>
          <w:rFonts w:ascii="仿宋" w:hAnsi="仿宋" w:eastAsia="仿宋"/>
          <w:sz w:val="32"/>
          <w:szCs w:val="32"/>
        </w:rPr>
      </w:pPr>
      <w:r>
        <w:rPr>
          <w:rFonts w:hint="eastAsia" w:ascii="仿宋" w:hAnsi="仿宋" w:eastAsia="仿宋"/>
          <w:kern w:val="0"/>
          <w:sz w:val="32"/>
          <w:szCs w:val="32"/>
        </w:rPr>
        <w:t>全额清算模式下，交易商参与数字人民币清算结算的，资金冻结成功后，上海清算所将货款资金冻结成功信息发送现货平台，现货平台基于交易商授权发送货款结算指令，上海清算所向相关现货清算成员发送付款通知，由相关现货清算成员完成买卖双方交易商数字人民币对公钱包的资金结算，及时、足额扣收买方应付资金并支付卖方应收资金，现货平台实时完成交易标的过户或告知交易商完成交易标的过户。</w:t>
      </w:r>
    </w:p>
    <w:p>
      <w:pPr>
        <w:pStyle w:val="3"/>
        <w:spacing w:line="580" w:lineRule="exact"/>
        <w:rPr>
          <w:rFonts w:ascii="黑体" w:hAnsi="黑体" w:eastAsia="黑体"/>
          <w:b w:val="0"/>
          <w:sz w:val="32"/>
        </w:rPr>
      </w:pPr>
      <w:bookmarkStart w:id="35" w:name="_Toc134628746"/>
      <w:bookmarkStart w:id="36" w:name="_Toc41292906"/>
      <w:r>
        <w:rPr>
          <w:rFonts w:hint="eastAsia" w:ascii="黑体" w:hAnsi="黑体" w:eastAsia="黑体"/>
          <w:b w:val="0"/>
          <w:sz w:val="32"/>
        </w:rPr>
        <w:t>上海</w:t>
      </w:r>
      <w:r>
        <w:rPr>
          <w:rFonts w:ascii="黑体" w:hAnsi="黑体" w:eastAsia="黑体"/>
          <w:b w:val="0"/>
          <w:sz w:val="32"/>
        </w:rPr>
        <w:t>自贸区业务</w:t>
      </w:r>
      <w:bookmarkEnd w:id="35"/>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市场参与者参与</w:t>
      </w:r>
      <w:r>
        <w:rPr>
          <w:rFonts w:hint="eastAsia" w:ascii="仿宋" w:hAnsi="仿宋" w:eastAsia="仿宋"/>
          <w:kern w:val="0"/>
          <w:sz w:val="32"/>
          <w:szCs w:val="32"/>
        </w:rPr>
        <w:t>中国（</w:t>
      </w:r>
      <w:r>
        <w:rPr>
          <w:rFonts w:ascii="仿宋" w:hAnsi="仿宋" w:eastAsia="仿宋"/>
          <w:kern w:val="0"/>
          <w:sz w:val="32"/>
          <w:szCs w:val="32"/>
        </w:rPr>
        <w:t>上海）自由贸易</w:t>
      </w:r>
      <w:r>
        <w:rPr>
          <w:rFonts w:hint="eastAsia" w:ascii="仿宋" w:hAnsi="仿宋" w:eastAsia="仿宋"/>
          <w:kern w:val="0"/>
          <w:sz w:val="32"/>
          <w:szCs w:val="32"/>
        </w:rPr>
        <w:t>试验区（以下</w:t>
      </w:r>
      <w:r>
        <w:rPr>
          <w:rFonts w:ascii="仿宋" w:hAnsi="仿宋" w:eastAsia="仿宋"/>
          <w:kern w:val="0"/>
          <w:sz w:val="32"/>
          <w:szCs w:val="32"/>
        </w:rPr>
        <w:t>简称上海自贸区）</w:t>
      </w:r>
      <w:r>
        <w:rPr>
          <w:rFonts w:hint="eastAsia" w:ascii="仿宋" w:hAnsi="仿宋" w:eastAsia="仿宋"/>
          <w:sz w:val="32"/>
          <w:szCs w:val="32"/>
        </w:rPr>
        <w:t>业务的，</w:t>
      </w:r>
      <w:r>
        <w:rPr>
          <w:rFonts w:ascii="仿宋" w:hAnsi="仿宋" w:eastAsia="仿宋"/>
          <w:sz w:val="32"/>
          <w:szCs w:val="32"/>
        </w:rPr>
        <w:t>还需满足本章节相关规定</w:t>
      </w:r>
      <w:r>
        <w:rPr>
          <w:rFonts w:hint="eastAsia" w:ascii="仿宋" w:hAnsi="仿宋" w:eastAsia="仿宋"/>
          <w:sz w:val="32"/>
          <w:szCs w:val="32"/>
        </w:rPr>
        <w:t>。</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清算产品</w:t>
      </w:r>
      <w:r>
        <w:rPr>
          <w:rFonts w:ascii="仿宋" w:hAnsi="仿宋" w:eastAsia="仿宋"/>
          <w:sz w:val="32"/>
          <w:szCs w:val="32"/>
        </w:rPr>
        <w:t>应为保税品种</w:t>
      </w:r>
      <w:r>
        <w:rPr>
          <w:rFonts w:hint="eastAsia" w:ascii="仿宋" w:hAnsi="仿宋" w:eastAsia="仿宋"/>
          <w:sz w:val="32"/>
          <w:szCs w:val="32"/>
        </w:rPr>
        <w:t>且以跨境人民币计价、清算和结算。</w:t>
      </w:r>
    </w:p>
    <w:p>
      <w:pPr>
        <w:pStyle w:val="37"/>
        <w:numPr>
          <w:ilvl w:val="0"/>
          <w:numId w:val="3"/>
        </w:numPr>
        <w:spacing w:line="580" w:lineRule="exact"/>
        <w:ind w:firstLineChars="0"/>
        <w:rPr>
          <w:rFonts w:ascii="仿宋" w:hAnsi="仿宋" w:eastAsia="仿宋"/>
          <w:sz w:val="32"/>
          <w:szCs w:val="32"/>
        </w:rPr>
      </w:pPr>
      <w:r>
        <w:rPr>
          <w:rFonts w:ascii="仿宋" w:hAnsi="仿宋" w:eastAsia="仿宋"/>
          <w:sz w:val="32"/>
          <w:szCs w:val="32"/>
        </w:rPr>
        <w:t>商业银行等金融机构</w:t>
      </w:r>
      <w:r>
        <w:rPr>
          <w:rFonts w:hint="eastAsia" w:ascii="仿宋" w:hAnsi="仿宋" w:eastAsia="仿宋"/>
          <w:sz w:val="32"/>
          <w:szCs w:val="32"/>
        </w:rPr>
        <w:t>申请成为现货清算成员，应通过中国人民银行上海总部自由贸易账户分账核算业务验收，</w:t>
      </w:r>
      <w:r>
        <w:rPr>
          <w:rFonts w:ascii="仿宋" w:hAnsi="仿宋" w:eastAsia="仿宋"/>
          <w:sz w:val="32"/>
          <w:szCs w:val="32"/>
        </w:rPr>
        <w:t>提供</w:t>
      </w:r>
      <w:r>
        <w:rPr>
          <w:rFonts w:hint="eastAsia" w:ascii="仿宋" w:hAnsi="仿宋" w:eastAsia="仿宋"/>
          <w:sz w:val="32"/>
          <w:szCs w:val="32"/>
        </w:rPr>
        <w:t>加盖公章的《自贸区分账核算业务信息报送系统验收合格通知书》复印件，并在上海清算所</w:t>
      </w:r>
      <w:r>
        <w:rPr>
          <w:rFonts w:ascii="仿宋" w:hAnsi="仿宋" w:eastAsia="仿宋"/>
          <w:sz w:val="32"/>
          <w:szCs w:val="32"/>
        </w:rPr>
        <w:t>开立</w:t>
      </w:r>
      <w:r>
        <w:rPr>
          <w:rFonts w:hint="eastAsia" w:ascii="仿宋" w:hAnsi="仿宋" w:eastAsia="仿宋"/>
          <w:sz w:val="32"/>
          <w:szCs w:val="32"/>
        </w:rPr>
        <w:t>资金</w:t>
      </w:r>
      <w:r>
        <w:rPr>
          <w:rFonts w:ascii="仿宋" w:hAnsi="仿宋" w:eastAsia="仿宋"/>
          <w:sz w:val="32"/>
          <w:szCs w:val="32"/>
        </w:rPr>
        <w:t>结算专户</w:t>
      </w:r>
      <w:r>
        <w:rPr>
          <w:rFonts w:hint="eastAsia" w:ascii="仿宋" w:hAnsi="仿宋" w:eastAsia="仿宋"/>
          <w:sz w:val="32"/>
          <w:szCs w:val="32"/>
        </w:rPr>
        <w:t>作为资金</w:t>
      </w:r>
      <w:r>
        <w:rPr>
          <w:rFonts w:ascii="仿宋" w:hAnsi="仿宋" w:eastAsia="仿宋"/>
          <w:sz w:val="32"/>
          <w:szCs w:val="32"/>
        </w:rPr>
        <w:t>结算账户</w:t>
      </w:r>
      <w:r>
        <w:rPr>
          <w:rFonts w:hint="eastAsia" w:ascii="仿宋" w:hAnsi="仿宋" w:eastAsia="仿宋"/>
          <w:sz w:val="32"/>
          <w:szCs w:val="32"/>
        </w:rPr>
        <w:t>，资金结算专户在开立后的次一工作日正式启用。</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待清算状态</w:t>
      </w:r>
      <w:r>
        <w:rPr>
          <w:rFonts w:ascii="仿宋" w:hAnsi="仿宋" w:eastAsia="仿宋"/>
          <w:sz w:val="32"/>
          <w:szCs w:val="32"/>
        </w:rPr>
        <w:t>的成交数据将在其对应的清算日</w:t>
      </w:r>
      <w:r>
        <w:rPr>
          <w:rFonts w:hint="eastAsia" w:ascii="仿宋" w:hAnsi="仿宋" w:eastAsia="仿宋"/>
          <w:sz w:val="32"/>
          <w:szCs w:val="32"/>
        </w:rPr>
        <w:t>完成</w:t>
      </w:r>
      <w:r>
        <w:rPr>
          <w:rFonts w:ascii="仿宋" w:hAnsi="仿宋" w:eastAsia="仿宋"/>
          <w:sz w:val="32"/>
          <w:szCs w:val="32"/>
        </w:rPr>
        <w:t>资金清算结算。</w:t>
      </w:r>
      <w:r>
        <w:rPr>
          <w:rFonts w:hint="eastAsia" w:ascii="仿宋" w:hAnsi="仿宋" w:eastAsia="仿宋"/>
          <w:sz w:val="32"/>
          <w:szCs w:val="32"/>
        </w:rPr>
        <w:t>清算模式包括全额清算和</w:t>
      </w:r>
      <w:r>
        <w:rPr>
          <w:rFonts w:ascii="仿宋" w:hAnsi="仿宋" w:eastAsia="仿宋"/>
          <w:sz w:val="32"/>
          <w:szCs w:val="32"/>
        </w:rPr>
        <w:t>净额清算</w:t>
      </w:r>
      <w:r>
        <w:rPr>
          <w:rFonts w:hint="eastAsia" w:ascii="仿宋" w:hAnsi="仿宋" w:eastAsia="仿宋"/>
          <w:sz w:val="32"/>
          <w:szCs w:val="32"/>
        </w:rPr>
        <w:t>。</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全额</w:t>
      </w:r>
      <w:r>
        <w:rPr>
          <w:rFonts w:ascii="仿宋" w:hAnsi="仿宋" w:eastAsia="仿宋"/>
          <w:sz w:val="32"/>
          <w:szCs w:val="32"/>
        </w:rPr>
        <w:t>清算</w:t>
      </w:r>
      <w:r>
        <w:rPr>
          <w:rFonts w:hint="eastAsia" w:ascii="仿宋" w:hAnsi="仿宋" w:eastAsia="仿宋"/>
          <w:sz w:val="32"/>
          <w:szCs w:val="32"/>
        </w:rPr>
        <w:t>相关规定</w:t>
      </w:r>
      <w:r>
        <w:rPr>
          <w:rFonts w:ascii="仿宋" w:hAnsi="仿宋" w:eastAsia="仿宋"/>
          <w:sz w:val="32"/>
          <w:szCs w:val="32"/>
        </w:rPr>
        <w:t>如下：</w:t>
      </w:r>
    </w:p>
    <w:p>
      <w:pPr>
        <w:pStyle w:val="37"/>
        <w:spacing w:line="580" w:lineRule="exact"/>
        <w:ind w:left="-141" w:leftChars="-67" w:firstLine="604" w:firstLineChars="189"/>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）工作日清算时段</w:t>
      </w:r>
      <w:r>
        <w:rPr>
          <w:rFonts w:hint="eastAsia" w:ascii="仿宋" w:hAnsi="仿宋" w:eastAsia="仿宋"/>
          <w:sz w:val="32"/>
          <w:szCs w:val="32"/>
        </w:rPr>
        <w:t>，交易商资金冻结成功且买卖双方对应不同现货清算成员的，上海清算所从买方现货清算成员资金结算账户扣收其应付资金。买方现货清算成员资金结算账户资金不足的，上海清算所可从其大额支付系统清算账户扣收。</w:t>
      </w:r>
    </w:p>
    <w:p>
      <w:pPr>
        <w:pStyle w:val="37"/>
        <w:spacing w:line="580" w:lineRule="exact"/>
        <w:ind w:left="-147" w:firstLine="640"/>
        <w:rPr>
          <w:rFonts w:ascii="仿宋" w:hAnsi="仿宋" w:eastAsia="仿宋"/>
          <w:sz w:val="32"/>
          <w:szCs w:val="32"/>
        </w:rPr>
      </w:pPr>
      <w:r>
        <w:rPr>
          <w:rFonts w:hint="eastAsia" w:ascii="仿宋" w:hAnsi="仿宋" w:eastAsia="仿宋"/>
          <w:sz w:val="32"/>
          <w:szCs w:val="32"/>
        </w:rPr>
        <w:t>买方现货清算成员应付资金扣收成功的，上海清算所通知现货平台进行交易标的</w:t>
      </w:r>
      <w:r>
        <w:rPr>
          <w:rFonts w:ascii="仿宋" w:hAnsi="仿宋" w:eastAsia="仿宋"/>
          <w:sz w:val="32"/>
          <w:szCs w:val="32"/>
        </w:rPr>
        <w:t>过户</w:t>
      </w:r>
      <w:r>
        <w:rPr>
          <w:rFonts w:hint="eastAsia" w:ascii="仿宋" w:hAnsi="仿宋" w:eastAsia="仿宋"/>
          <w:sz w:val="32"/>
          <w:szCs w:val="32"/>
        </w:rPr>
        <w:t>，并将卖方现货清算成员应收资金划转至其资金结算账户，同时现货清算成员与</w:t>
      </w:r>
      <w:r>
        <w:rPr>
          <w:rFonts w:ascii="仿宋" w:hAnsi="仿宋" w:eastAsia="仿宋"/>
          <w:sz w:val="32"/>
          <w:szCs w:val="32"/>
        </w:rPr>
        <w:t>交易商进行资金结算，</w:t>
      </w:r>
      <w:r>
        <w:rPr>
          <w:rFonts w:hint="eastAsia" w:ascii="仿宋" w:hAnsi="仿宋" w:eastAsia="仿宋"/>
          <w:sz w:val="32"/>
          <w:szCs w:val="32"/>
        </w:rPr>
        <w:t>买方</w:t>
      </w:r>
      <w:r>
        <w:rPr>
          <w:rFonts w:ascii="仿宋" w:hAnsi="仿宋" w:eastAsia="仿宋"/>
          <w:sz w:val="32"/>
          <w:szCs w:val="32"/>
        </w:rPr>
        <w:t>现货清算成员及时、足额</w:t>
      </w:r>
      <w:r>
        <w:rPr>
          <w:rFonts w:hint="eastAsia" w:ascii="仿宋" w:hAnsi="仿宋" w:eastAsia="仿宋"/>
          <w:sz w:val="32"/>
          <w:szCs w:val="32"/>
        </w:rPr>
        <w:t>扣收买方</w:t>
      </w:r>
      <w:r>
        <w:rPr>
          <w:rFonts w:ascii="仿宋" w:hAnsi="仿宋" w:eastAsia="仿宋"/>
          <w:sz w:val="32"/>
          <w:szCs w:val="32"/>
        </w:rPr>
        <w:t>应付资金，</w:t>
      </w:r>
      <w:r>
        <w:rPr>
          <w:rFonts w:hint="eastAsia" w:ascii="仿宋" w:hAnsi="仿宋" w:eastAsia="仿宋"/>
          <w:sz w:val="32"/>
          <w:szCs w:val="32"/>
        </w:rPr>
        <w:t>卖方现货</w:t>
      </w:r>
      <w:r>
        <w:rPr>
          <w:rFonts w:ascii="仿宋" w:hAnsi="仿宋" w:eastAsia="仿宋"/>
          <w:sz w:val="32"/>
          <w:szCs w:val="32"/>
        </w:rPr>
        <w:t>清算成员及时、足额</w:t>
      </w:r>
      <w:r>
        <w:rPr>
          <w:rFonts w:hint="eastAsia" w:ascii="仿宋" w:hAnsi="仿宋" w:eastAsia="仿宋"/>
          <w:sz w:val="32"/>
          <w:szCs w:val="32"/>
        </w:rPr>
        <w:t>支付</w:t>
      </w:r>
      <w:r>
        <w:rPr>
          <w:rFonts w:ascii="仿宋" w:hAnsi="仿宋" w:eastAsia="仿宋"/>
          <w:sz w:val="32"/>
          <w:szCs w:val="32"/>
        </w:rPr>
        <w:t>卖方</w:t>
      </w:r>
      <w:r>
        <w:rPr>
          <w:rFonts w:hint="eastAsia" w:ascii="仿宋" w:hAnsi="仿宋" w:eastAsia="仿宋"/>
          <w:sz w:val="32"/>
          <w:szCs w:val="32"/>
        </w:rPr>
        <w:t>应收</w:t>
      </w:r>
      <w:r>
        <w:rPr>
          <w:rFonts w:ascii="仿宋" w:hAnsi="仿宋" w:eastAsia="仿宋"/>
          <w:sz w:val="32"/>
          <w:szCs w:val="32"/>
        </w:rPr>
        <w:t>资金。</w:t>
      </w:r>
    </w:p>
    <w:p>
      <w:pPr>
        <w:pStyle w:val="37"/>
        <w:spacing w:line="580" w:lineRule="exact"/>
        <w:ind w:left="-147" w:firstLine="64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涉及的相关费用</w:t>
      </w:r>
      <w:r>
        <w:rPr>
          <w:rFonts w:hint="eastAsia" w:ascii="仿宋" w:hAnsi="仿宋" w:eastAsia="仿宋"/>
          <w:sz w:val="32"/>
          <w:szCs w:val="32"/>
        </w:rPr>
        <w:t>每日计算</w:t>
      </w:r>
      <w:r>
        <w:rPr>
          <w:rFonts w:ascii="仿宋" w:hAnsi="仿宋" w:eastAsia="仿宋"/>
          <w:sz w:val="32"/>
          <w:szCs w:val="32"/>
        </w:rPr>
        <w:t>、定期计收，相关金额纳入每日资金结算清单。</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净额清算，指上海清算所在</w:t>
      </w:r>
      <w:r>
        <w:rPr>
          <w:rFonts w:ascii="仿宋" w:hAnsi="仿宋" w:eastAsia="仿宋"/>
          <w:sz w:val="32"/>
          <w:szCs w:val="32"/>
        </w:rPr>
        <w:t>清算日</w:t>
      </w:r>
      <w:r>
        <w:rPr>
          <w:rFonts w:hint="eastAsia" w:ascii="仿宋" w:hAnsi="仿宋" w:eastAsia="仿宋"/>
          <w:sz w:val="32"/>
          <w:szCs w:val="32"/>
        </w:rPr>
        <w:t>对同一</w:t>
      </w:r>
      <w:r>
        <w:rPr>
          <w:rFonts w:ascii="仿宋" w:hAnsi="仿宋" w:eastAsia="仿宋"/>
          <w:sz w:val="32"/>
          <w:szCs w:val="32"/>
        </w:rPr>
        <w:t>现货平台</w:t>
      </w:r>
      <w:r>
        <w:rPr>
          <w:rFonts w:hint="eastAsia" w:ascii="仿宋" w:hAnsi="仿宋" w:eastAsia="仿宋"/>
          <w:sz w:val="32"/>
          <w:szCs w:val="32"/>
        </w:rPr>
        <w:t>所有纳入</w:t>
      </w:r>
      <w:r>
        <w:rPr>
          <w:rFonts w:ascii="仿宋" w:hAnsi="仿宋" w:eastAsia="仿宋"/>
          <w:sz w:val="32"/>
          <w:szCs w:val="32"/>
        </w:rPr>
        <w:t>当日</w:t>
      </w:r>
      <w:r>
        <w:rPr>
          <w:rFonts w:hint="eastAsia" w:ascii="仿宋" w:hAnsi="仿宋" w:eastAsia="仿宋"/>
          <w:sz w:val="32"/>
          <w:szCs w:val="32"/>
        </w:rPr>
        <w:t>净额清算的大宗商品</w:t>
      </w:r>
      <w:r>
        <w:rPr>
          <w:rFonts w:ascii="仿宋" w:hAnsi="仿宋" w:eastAsia="仿宋"/>
          <w:sz w:val="32"/>
          <w:szCs w:val="32"/>
        </w:rPr>
        <w:t>现货</w:t>
      </w:r>
      <w:r>
        <w:rPr>
          <w:rFonts w:hint="eastAsia" w:ascii="仿宋" w:hAnsi="仿宋" w:eastAsia="仿宋"/>
          <w:sz w:val="32"/>
          <w:szCs w:val="32"/>
        </w:rPr>
        <w:t>交易，轧差计算各交易商</w:t>
      </w:r>
      <w:r>
        <w:rPr>
          <w:rFonts w:ascii="仿宋" w:hAnsi="仿宋" w:eastAsia="仿宋"/>
          <w:sz w:val="32"/>
          <w:szCs w:val="32"/>
        </w:rPr>
        <w:t>、</w:t>
      </w:r>
      <w:r>
        <w:rPr>
          <w:rFonts w:hint="eastAsia" w:ascii="仿宋" w:hAnsi="仿宋" w:eastAsia="仿宋"/>
          <w:sz w:val="32"/>
          <w:szCs w:val="32"/>
        </w:rPr>
        <w:t>现货清算</w:t>
      </w:r>
      <w:r>
        <w:rPr>
          <w:rFonts w:ascii="仿宋" w:hAnsi="仿宋" w:eastAsia="仿宋"/>
          <w:sz w:val="32"/>
          <w:szCs w:val="32"/>
        </w:rPr>
        <w:t>成员</w:t>
      </w:r>
      <w:r>
        <w:rPr>
          <w:rFonts w:hint="eastAsia" w:ascii="仿宋" w:hAnsi="仿宋" w:eastAsia="仿宋"/>
          <w:sz w:val="32"/>
          <w:szCs w:val="32"/>
        </w:rPr>
        <w:t>应收应付资金，生成</w:t>
      </w:r>
      <w:r>
        <w:rPr>
          <w:rFonts w:ascii="仿宋" w:hAnsi="仿宋" w:eastAsia="仿宋"/>
          <w:sz w:val="32"/>
          <w:szCs w:val="32"/>
        </w:rPr>
        <w:t>资金结算清单，据此</w:t>
      </w:r>
      <w:r>
        <w:rPr>
          <w:rFonts w:hint="eastAsia" w:ascii="仿宋" w:hAnsi="仿宋" w:eastAsia="仿宋"/>
          <w:sz w:val="32"/>
          <w:szCs w:val="32"/>
        </w:rPr>
        <w:t>进行</w:t>
      </w:r>
      <w:r>
        <w:rPr>
          <w:rFonts w:ascii="仿宋" w:hAnsi="仿宋" w:eastAsia="仿宋"/>
          <w:sz w:val="32"/>
          <w:szCs w:val="32"/>
        </w:rPr>
        <w:t>资金清算结算处理</w:t>
      </w:r>
      <w:r>
        <w:rPr>
          <w:rFonts w:hint="eastAsia" w:ascii="仿宋" w:hAnsi="仿宋" w:eastAsia="仿宋"/>
          <w:sz w:val="32"/>
          <w:szCs w:val="32"/>
        </w:rPr>
        <w:t>。</w:t>
      </w:r>
    </w:p>
    <w:bookmarkEnd w:id="36"/>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工作日清算时段，上海清算所对</w:t>
      </w:r>
      <w:r>
        <w:rPr>
          <w:rFonts w:ascii="仿宋" w:hAnsi="仿宋" w:eastAsia="仿宋"/>
          <w:sz w:val="32"/>
          <w:szCs w:val="32"/>
        </w:rPr>
        <w:t>纳入当日</w:t>
      </w:r>
      <w:r>
        <w:rPr>
          <w:rFonts w:hint="eastAsia" w:ascii="仿宋" w:hAnsi="仿宋" w:eastAsia="仿宋"/>
          <w:sz w:val="32"/>
          <w:szCs w:val="32"/>
        </w:rPr>
        <w:t>净额</w:t>
      </w:r>
      <w:r>
        <w:rPr>
          <w:rFonts w:ascii="仿宋" w:hAnsi="仿宋" w:eastAsia="仿宋"/>
          <w:sz w:val="32"/>
          <w:szCs w:val="32"/>
        </w:rPr>
        <w:t>清算的</w:t>
      </w:r>
      <w:r>
        <w:rPr>
          <w:rFonts w:hint="eastAsia" w:ascii="仿宋" w:hAnsi="仿宋" w:eastAsia="仿宋"/>
          <w:sz w:val="32"/>
          <w:szCs w:val="32"/>
        </w:rPr>
        <w:t>相关成交数据</w:t>
      </w:r>
      <w:r>
        <w:rPr>
          <w:rFonts w:ascii="仿宋" w:hAnsi="仿宋" w:eastAsia="仿宋"/>
          <w:sz w:val="32"/>
          <w:szCs w:val="32"/>
        </w:rPr>
        <w:t>进行</w:t>
      </w:r>
      <w:r>
        <w:rPr>
          <w:rFonts w:hint="eastAsia" w:ascii="仿宋" w:hAnsi="仿宋" w:eastAsia="仿宋"/>
          <w:sz w:val="32"/>
          <w:szCs w:val="32"/>
        </w:rPr>
        <w:t>清算结算处理。</w:t>
      </w:r>
    </w:p>
    <w:p>
      <w:pPr>
        <w:pStyle w:val="37"/>
        <w:numPr>
          <w:ilvl w:val="0"/>
          <w:numId w:val="3"/>
        </w:numPr>
        <w:spacing w:line="580" w:lineRule="exact"/>
        <w:ind w:firstLineChars="0"/>
        <w:rPr>
          <w:rFonts w:ascii="仿宋" w:hAnsi="仿宋" w:eastAsia="仿宋"/>
          <w:sz w:val="32"/>
          <w:szCs w:val="32"/>
        </w:rPr>
      </w:pPr>
      <w:r>
        <w:rPr>
          <w:rFonts w:ascii="仿宋" w:hAnsi="仿宋" w:eastAsia="仿宋"/>
          <w:sz w:val="32"/>
          <w:szCs w:val="32"/>
        </w:rPr>
        <w:t>上海清算所</w:t>
      </w:r>
      <w:r>
        <w:rPr>
          <w:rFonts w:hint="eastAsia" w:ascii="仿宋" w:hAnsi="仿宋" w:eastAsia="仿宋"/>
          <w:sz w:val="32"/>
          <w:szCs w:val="32"/>
        </w:rPr>
        <w:t>进行清算</w:t>
      </w:r>
      <w:r>
        <w:rPr>
          <w:rFonts w:ascii="仿宋" w:hAnsi="仿宋" w:eastAsia="仿宋"/>
          <w:sz w:val="32"/>
          <w:szCs w:val="32"/>
        </w:rPr>
        <w:t>处理，</w:t>
      </w:r>
      <w:r>
        <w:rPr>
          <w:rFonts w:hint="eastAsia" w:ascii="仿宋" w:hAnsi="仿宋" w:eastAsia="仿宋"/>
          <w:sz w:val="32"/>
          <w:szCs w:val="32"/>
        </w:rPr>
        <w:t>确定</w:t>
      </w:r>
      <w:r>
        <w:rPr>
          <w:rFonts w:ascii="仿宋" w:hAnsi="仿宋" w:eastAsia="仿宋"/>
          <w:sz w:val="32"/>
          <w:szCs w:val="32"/>
        </w:rPr>
        <w:t>交易商</w:t>
      </w:r>
      <w:r>
        <w:rPr>
          <w:rFonts w:hint="eastAsia" w:ascii="仿宋" w:hAnsi="仿宋" w:eastAsia="仿宋"/>
          <w:sz w:val="32"/>
          <w:szCs w:val="32"/>
        </w:rPr>
        <w:t>应收应付</w:t>
      </w:r>
      <w:r>
        <w:rPr>
          <w:rFonts w:ascii="仿宋" w:hAnsi="仿宋" w:eastAsia="仿宋"/>
          <w:sz w:val="32"/>
          <w:szCs w:val="32"/>
        </w:rPr>
        <w:t>资金</w:t>
      </w:r>
      <w:r>
        <w:rPr>
          <w:rFonts w:hint="eastAsia" w:ascii="仿宋" w:hAnsi="仿宋" w:eastAsia="仿宋"/>
          <w:sz w:val="32"/>
          <w:szCs w:val="32"/>
        </w:rPr>
        <w:t>、</w:t>
      </w:r>
      <w:r>
        <w:rPr>
          <w:rFonts w:ascii="仿宋" w:hAnsi="仿宋" w:eastAsia="仿宋"/>
          <w:sz w:val="32"/>
          <w:szCs w:val="32"/>
        </w:rPr>
        <w:t>现货清算成员应收应付资金，生成资金结算清单</w:t>
      </w:r>
      <w:r>
        <w:rPr>
          <w:rFonts w:hint="eastAsia" w:ascii="仿宋" w:hAnsi="仿宋" w:eastAsia="仿宋"/>
          <w:sz w:val="32"/>
          <w:szCs w:val="32"/>
        </w:rPr>
        <w:t>及交易商应追加冻结资金信息（参考数</w:t>
      </w:r>
      <w:r>
        <w:rPr>
          <w:rFonts w:ascii="仿宋" w:hAnsi="仿宋" w:eastAsia="仿宋"/>
          <w:sz w:val="32"/>
          <w:szCs w:val="32"/>
        </w:rPr>
        <w:t>）</w:t>
      </w:r>
      <w:r>
        <w:rPr>
          <w:rFonts w:hint="eastAsia" w:ascii="仿宋" w:hAnsi="仿宋" w:eastAsia="仿宋"/>
          <w:sz w:val="32"/>
          <w:szCs w:val="32"/>
        </w:rPr>
        <w:t>并</w:t>
      </w:r>
      <w:r>
        <w:rPr>
          <w:rFonts w:ascii="仿宋" w:hAnsi="仿宋" w:eastAsia="仿宋"/>
          <w:sz w:val="32"/>
          <w:szCs w:val="32"/>
        </w:rPr>
        <w:t>发送现货清算成员和现货平台。</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上海清算所按</w:t>
      </w:r>
      <w:r>
        <w:rPr>
          <w:rFonts w:ascii="仿宋" w:hAnsi="仿宋" w:eastAsia="仿宋"/>
          <w:sz w:val="32"/>
          <w:szCs w:val="32"/>
        </w:rPr>
        <w:t>现货平台</w:t>
      </w:r>
      <w:r>
        <w:rPr>
          <w:rFonts w:hint="eastAsia" w:ascii="仿宋" w:hAnsi="仿宋" w:eastAsia="仿宋"/>
          <w:sz w:val="32"/>
          <w:szCs w:val="32"/>
        </w:rPr>
        <w:t>计算每个交易商</w:t>
      </w:r>
      <w:r>
        <w:rPr>
          <w:rFonts w:ascii="仿宋" w:hAnsi="仿宋" w:eastAsia="仿宋"/>
          <w:sz w:val="32"/>
          <w:szCs w:val="32"/>
        </w:rPr>
        <w:t>应收应付资金。</w:t>
      </w:r>
    </w:p>
    <w:p>
      <w:pPr>
        <w:pStyle w:val="36"/>
        <w:spacing w:line="580" w:lineRule="exact"/>
        <w:ind w:left="567" w:leftChars="270" w:firstLine="1"/>
        <w:jc w:val="both"/>
        <w:rPr>
          <w:rFonts w:hAnsi="仿宋"/>
          <w:sz w:val="32"/>
          <w:szCs w:val="32"/>
        </w:rPr>
      </w:pPr>
      <m:oMath>
        <m:r>
          <m:rPr>
            <m:sty m:val="p"/>
          </m:rPr>
          <w:rPr>
            <w:rFonts w:hint="eastAsia" w:ascii="Cambria Math" w:hAnsi="Cambria Math"/>
            <w:sz w:val="32"/>
            <w:szCs w:val="32"/>
          </w:rPr>
          <m:t>交易商应收应付资金=</m:t>
        </m:r>
        <m:nary>
          <m:naryPr>
            <m:chr m:val="∑"/>
            <m:limLoc m:val="subSup"/>
            <m:supHide m:val="1"/>
            <m:ctrlPr>
              <w:rPr>
                <w:rFonts w:ascii="Cambria Math" w:hAnsi="Cambria Math"/>
                <w:sz w:val="32"/>
                <w:szCs w:val="32"/>
              </w:rPr>
            </m:ctrlPr>
          </m:naryPr>
          <m:sub>
            <m:r>
              <w:rPr>
                <w:rFonts w:hint="eastAsia" w:ascii="Cambria Math" w:hAnsi="Cambria Math"/>
                <w:sz w:val="32"/>
                <w:szCs w:val="32"/>
              </w:rPr>
              <m:t>i</m:t>
            </m:r>
            <m:ctrlPr>
              <w:rPr>
                <w:rFonts w:ascii="Cambria Math" w:hAnsi="Cambria Math"/>
                <w:sz w:val="32"/>
                <w:szCs w:val="32"/>
              </w:rPr>
            </m:ctrlPr>
          </m:sub>
          <m:sup>
            <m:ctrlPr>
              <w:rPr>
                <w:rFonts w:ascii="Cambria Math" w:hAnsi="Cambria Math"/>
                <w:sz w:val="32"/>
                <w:szCs w:val="32"/>
              </w:rPr>
            </m:ctrlPr>
          </m:sup>
          <m:e>
            <m:r>
              <m:rPr>
                <m:sty m:val="p"/>
              </m:rPr>
              <w:rPr>
                <w:rFonts w:hint="eastAsia" w:ascii="Cambria Math" w:hAnsi="Cambria Math"/>
                <w:sz w:val="32"/>
                <w:szCs w:val="32"/>
              </w:rPr>
              <m:t>作为卖方的</m:t>
            </m:r>
            <m:sSub>
              <m:sSubPr>
                <m:ctrlPr>
                  <w:rPr>
                    <w:rFonts w:ascii="Cambria Math" w:hAnsi="Cambria Math"/>
                    <w:sz w:val="32"/>
                    <w:szCs w:val="32"/>
                  </w:rPr>
                </m:ctrlPr>
              </m:sSubPr>
              <m:e>
                <m:r>
                  <m:rPr>
                    <m:sty m:val="p"/>
                  </m:rPr>
                  <w:rPr>
                    <w:rFonts w:hint="eastAsia" w:ascii="Cambria Math" w:hAnsi="Cambria Math"/>
                    <w:sz w:val="32"/>
                    <w:szCs w:val="32"/>
                  </w:rPr>
                  <m:t>交易</m:t>
                </m:r>
                <m:ctrlPr>
                  <w:rPr>
                    <w:rFonts w:ascii="Cambria Math" w:hAnsi="Cambria Math"/>
                    <w:sz w:val="32"/>
                    <w:szCs w:val="32"/>
                  </w:rPr>
                </m:ctrlPr>
              </m:e>
              <m:sub>
                <m:r>
                  <w:rPr>
                    <w:rFonts w:ascii="Cambria Math" w:hAnsi="Cambria Math"/>
                    <w:sz w:val="32"/>
                    <w:szCs w:val="32"/>
                  </w:rPr>
                  <m:t>i</m:t>
                </m:r>
                <m:ctrlPr>
                  <w:rPr>
                    <w:rFonts w:ascii="Cambria Math" w:hAnsi="Cambria Math"/>
                    <w:sz w:val="32"/>
                    <w:szCs w:val="32"/>
                  </w:rPr>
                </m:ctrlPr>
              </m:sub>
            </m:sSub>
            <m:r>
              <m:rPr>
                <m:sty m:val="p"/>
              </m:rPr>
              <w:rPr>
                <w:rFonts w:hint="eastAsia" w:ascii="Cambria Math" w:hAnsi="Cambria Math"/>
                <w:sz w:val="32"/>
                <w:szCs w:val="32"/>
              </w:rPr>
              <m:t>成交金额</m:t>
            </m:r>
            <m:r>
              <m:rPr>
                <m:sty m:val="p"/>
              </m:rPr>
              <w:rPr>
                <w:rFonts w:ascii="Cambria Math" w:hAnsi="Cambria Math"/>
                <w:sz w:val="32"/>
                <w:szCs w:val="32"/>
              </w:rPr>
              <m:t>-</m:t>
            </m:r>
            <m:nary>
              <m:naryPr>
                <m:chr m:val="∑"/>
                <m:limLoc m:val="subSup"/>
                <m:supHide m:val="1"/>
                <m:ctrlPr>
                  <w:rPr>
                    <w:rFonts w:ascii="Cambria Math" w:hAnsi="Cambria Math"/>
                    <w:sz w:val="32"/>
                    <w:szCs w:val="32"/>
                  </w:rPr>
                </m:ctrlPr>
              </m:naryPr>
              <m:sub>
                <m:r>
                  <w:rPr>
                    <w:rFonts w:hint="eastAsia" w:ascii="Cambria Math" w:hAnsi="Cambria Math"/>
                    <w:sz w:val="32"/>
                    <w:szCs w:val="32"/>
                  </w:rPr>
                  <m:t>j</m:t>
                </m:r>
                <m:ctrlPr>
                  <w:rPr>
                    <w:rFonts w:ascii="Cambria Math" w:hAnsi="Cambria Math"/>
                    <w:sz w:val="32"/>
                    <w:szCs w:val="32"/>
                  </w:rPr>
                </m:ctrlPr>
              </m:sub>
              <m:sup>
                <m:ctrlPr>
                  <w:rPr>
                    <w:rFonts w:ascii="Cambria Math" w:hAnsi="Cambria Math"/>
                    <w:sz w:val="32"/>
                    <w:szCs w:val="32"/>
                  </w:rPr>
                </m:ctrlPr>
              </m:sup>
              <m:e>
                <m:r>
                  <m:rPr>
                    <m:sty m:val="p"/>
                  </m:rPr>
                  <w:rPr>
                    <w:rFonts w:hint="eastAsia" w:ascii="Cambria Math" w:hAnsi="Cambria Math"/>
                    <w:sz w:val="32"/>
                    <w:szCs w:val="32"/>
                  </w:rPr>
                  <m:t>作为买方的</m:t>
                </m:r>
                <m:sSub>
                  <m:sSubPr>
                    <m:ctrlPr>
                      <w:rPr>
                        <w:rFonts w:ascii="Cambria Math" w:hAnsi="Cambria Math"/>
                        <w:sz w:val="32"/>
                        <w:szCs w:val="32"/>
                      </w:rPr>
                    </m:ctrlPr>
                  </m:sSubPr>
                  <m:e>
                    <m:r>
                      <m:rPr>
                        <m:sty m:val="p"/>
                      </m:rPr>
                      <w:rPr>
                        <w:rFonts w:hint="eastAsia" w:ascii="Cambria Math" w:hAnsi="Cambria Math"/>
                        <w:sz w:val="32"/>
                        <w:szCs w:val="32"/>
                      </w:rPr>
                      <m:t>交易</m:t>
                    </m:r>
                    <m:ctrlPr>
                      <w:rPr>
                        <w:rFonts w:ascii="Cambria Math" w:hAnsi="Cambria Math"/>
                        <w:sz w:val="32"/>
                        <w:szCs w:val="32"/>
                      </w:rPr>
                    </m:ctrlPr>
                  </m:e>
                  <m:sub>
                    <m:r>
                      <w:rPr>
                        <w:rFonts w:ascii="Cambria Math" w:hAnsi="Cambria Math"/>
                        <w:sz w:val="32"/>
                        <w:szCs w:val="32"/>
                      </w:rPr>
                      <m:t>j</m:t>
                    </m:r>
                    <m:ctrlPr>
                      <w:rPr>
                        <w:rFonts w:ascii="Cambria Math" w:hAnsi="Cambria Math"/>
                        <w:sz w:val="32"/>
                        <w:szCs w:val="32"/>
                      </w:rPr>
                    </m:ctrlPr>
                  </m:sub>
                </m:sSub>
                <m:r>
                  <m:rPr>
                    <m:sty m:val="p"/>
                  </m:rPr>
                  <w:rPr>
                    <w:rFonts w:hint="eastAsia" w:ascii="Cambria Math" w:hAnsi="Cambria Math"/>
                    <w:sz w:val="32"/>
                    <w:szCs w:val="32"/>
                  </w:rPr>
                  <m:t>成交金额</m:t>
                </m:r>
                <m:ctrlPr>
                  <w:rPr>
                    <w:rFonts w:ascii="Cambria Math" w:hAnsi="Cambria Math"/>
                    <w:sz w:val="32"/>
                    <w:szCs w:val="32"/>
                  </w:rPr>
                </m:ctrlPr>
              </m:e>
            </m:nary>
            <m:ctrlPr>
              <w:rPr>
                <w:rFonts w:ascii="Cambria Math" w:hAnsi="Cambria Math"/>
                <w:sz w:val="32"/>
                <w:szCs w:val="32"/>
              </w:rPr>
            </m:ctrlPr>
          </m:e>
        </m:nary>
      </m:oMath>
      <w:r>
        <w:rPr>
          <w:rFonts w:hAnsi="仿宋"/>
          <w:sz w:val="32"/>
          <w:szCs w:val="32"/>
        </w:rPr>
        <w:t xml:space="preserve"> </w:t>
      </w:r>
    </w:p>
    <w:p>
      <w:pPr>
        <w:pStyle w:val="37"/>
        <w:spacing w:line="580" w:lineRule="exact"/>
        <w:ind w:left="-147" w:firstLine="640"/>
        <w:rPr>
          <w:rFonts w:ascii="仿宋" w:hAnsi="仿宋" w:eastAsia="仿宋"/>
          <w:sz w:val="32"/>
          <w:szCs w:val="32"/>
        </w:rPr>
      </w:pPr>
      <w:r>
        <w:rPr>
          <w:rFonts w:hint="eastAsia" w:ascii="仿宋" w:hAnsi="仿宋" w:eastAsia="仿宋"/>
          <w:sz w:val="32"/>
          <w:szCs w:val="32"/>
        </w:rPr>
        <w:t>其中</w:t>
      </w:r>
      <w:r>
        <w:rPr>
          <w:rFonts w:ascii="仿宋" w:hAnsi="仿宋" w:eastAsia="仿宋"/>
          <w:sz w:val="32"/>
          <w:szCs w:val="32"/>
        </w:rPr>
        <w:t>，</w:t>
      </w:r>
      <m:oMath>
        <m:sSub>
          <m:sSubPr>
            <m:ctrlPr>
              <w:rPr>
                <w:rFonts w:ascii="Cambria Math" w:hAnsi="Cambria Math" w:eastAsia="仿宋"/>
                <w:sz w:val="32"/>
                <w:szCs w:val="32"/>
              </w:rPr>
            </m:ctrlPr>
          </m:sSubPr>
          <m:e>
            <m:r>
              <m:rPr>
                <m:sty m:val="p"/>
              </m:rPr>
              <w:rPr>
                <w:rFonts w:hint="eastAsia" w:ascii="Cambria Math" w:hAnsi="Cambria Math" w:eastAsia="仿宋"/>
                <w:sz w:val="32"/>
                <w:szCs w:val="32"/>
              </w:rPr>
              <m:t>交易</m:t>
            </m:r>
            <m:ctrlPr>
              <w:rPr>
                <w:rFonts w:ascii="Cambria Math" w:hAnsi="Cambria Math" w:eastAsia="仿宋"/>
                <w:sz w:val="32"/>
                <w:szCs w:val="32"/>
              </w:rPr>
            </m:ctrlPr>
          </m:e>
          <m:sub>
            <m:r>
              <w:rPr>
                <w:rFonts w:ascii="Cambria Math" w:hAnsi="Cambria Math" w:eastAsia="仿宋"/>
                <w:sz w:val="32"/>
                <w:szCs w:val="32"/>
              </w:rPr>
              <m:t>i</m:t>
            </m:r>
            <m:ctrlPr>
              <w:rPr>
                <w:rFonts w:ascii="Cambria Math" w:hAnsi="Cambria Math" w:eastAsia="仿宋"/>
                <w:sz w:val="32"/>
                <w:szCs w:val="32"/>
              </w:rPr>
            </m:ctrlPr>
          </m:sub>
        </m:sSub>
      </m:oMath>
      <w:r>
        <w:rPr>
          <w:rFonts w:hint="eastAsia" w:ascii="仿宋" w:hAnsi="仿宋" w:eastAsia="仿宋"/>
          <w:sz w:val="32"/>
          <w:szCs w:val="32"/>
        </w:rPr>
        <w:t>代表</w:t>
      </w:r>
      <w:r>
        <w:rPr>
          <w:rFonts w:ascii="仿宋" w:hAnsi="仿宋" w:eastAsia="仿宋"/>
          <w:sz w:val="32"/>
          <w:szCs w:val="32"/>
        </w:rPr>
        <w:t>卖方为该交易商的第i笔交易；</w:t>
      </w:r>
      <m:oMath>
        <m:sSub>
          <m:sSubPr>
            <m:ctrlPr>
              <w:rPr>
                <w:rFonts w:ascii="Cambria Math" w:hAnsi="Cambria Math" w:eastAsia="仿宋"/>
                <w:sz w:val="32"/>
                <w:szCs w:val="32"/>
              </w:rPr>
            </m:ctrlPr>
          </m:sSubPr>
          <m:e>
            <m:r>
              <m:rPr>
                <m:sty m:val="p"/>
              </m:rPr>
              <w:rPr>
                <w:rFonts w:hint="eastAsia" w:ascii="Cambria Math" w:hAnsi="Cambria Math" w:eastAsia="仿宋"/>
                <w:sz w:val="32"/>
                <w:szCs w:val="32"/>
              </w:rPr>
              <m:t>交易</m:t>
            </m:r>
            <m:ctrlPr>
              <w:rPr>
                <w:rFonts w:ascii="Cambria Math" w:hAnsi="Cambria Math" w:eastAsia="仿宋"/>
                <w:sz w:val="32"/>
                <w:szCs w:val="32"/>
              </w:rPr>
            </m:ctrlPr>
          </m:e>
          <m:sub>
            <m:r>
              <w:rPr>
                <w:rFonts w:ascii="Cambria Math" w:hAnsi="Cambria Math" w:eastAsia="仿宋"/>
                <w:sz w:val="32"/>
                <w:szCs w:val="32"/>
              </w:rPr>
              <m:t>j</m:t>
            </m:r>
            <m:ctrlPr>
              <w:rPr>
                <w:rFonts w:ascii="Cambria Math" w:hAnsi="Cambria Math" w:eastAsia="仿宋"/>
                <w:sz w:val="32"/>
                <w:szCs w:val="32"/>
              </w:rPr>
            </m:ctrlPr>
          </m:sub>
        </m:sSub>
      </m:oMath>
      <w:r>
        <w:rPr>
          <w:rFonts w:hint="eastAsia" w:ascii="仿宋" w:hAnsi="仿宋" w:eastAsia="仿宋"/>
          <w:sz w:val="32"/>
          <w:szCs w:val="32"/>
        </w:rPr>
        <w:t>代表买方</w:t>
      </w:r>
      <w:r>
        <w:rPr>
          <w:rFonts w:ascii="仿宋" w:hAnsi="仿宋" w:eastAsia="仿宋"/>
          <w:sz w:val="32"/>
          <w:szCs w:val="32"/>
        </w:rPr>
        <w:t>为该交易商的第j笔交易</w:t>
      </w:r>
      <w:r>
        <w:rPr>
          <w:rFonts w:hint="eastAsia" w:ascii="仿宋" w:hAnsi="仿宋" w:eastAsia="仿宋"/>
          <w:sz w:val="32"/>
          <w:szCs w:val="32"/>
        </w:rPr>
        <w:t>。</w:t>
      </w:r>
      <w:r>
        <w:rPr>
          <w:rFonts w:ascii="仿宋" w:hAnsi="仿宋" w:eastAsia="仿宋"/>
          <w:sz w:val="32"/>
          <w:szCs w:val="32"/>
        </w:rPr>
        <w:t>应收应付资金大于</w:t>
      </w:r>
      <w:r>
        <w:rPr>
          <w:rFonts w:hint="eastAsia" w:ascii="仿宋" w:hAnsi="仿宋" w:eastAsia="仿宋"/>
          <w:sz w:val="32"/>
          <w:szCs w:val="32"/>
        </w:rPr>
        <w:t>零</w:t>
      </w:r>
      <w:r>
        <w:rPr>
          <w:rFonts w:ascii="仿宋" w:hAnsi="仿宋" w:eastAsia="仿宋"/>
          <w:sz w:val="32"/>
          <w:szCs w:val="32"/>
        </w:rPr>
        <w:t>的，该交易商当日应收资金；</w:t>
      </w:r>
      <w:r>
        <w:rPr>
          <w:rFonts w:hint="eastAsia" w:ascii="仿宋" w:hAnsi="仿宋" w:eastAsia="仿宋"/>
          <w:sz w:val="32"/>
          <w:szCs w:val="32"/>
        </w:rPr>
        <w:t>应收</w:t>
      </w:r>
      <w:r>
        <w:rPr>
          <w:rFonts w:ascii="仿宋" w:hAnsi="仿宋" w:eastAsia="仿宋"/>
          <w:sz w:val="32"/>
          <w:szCs w:val="32"/>
        </w:rPr>
        <w:t>应付资金小于零的，</w:t>
      </w:r>
      <w:r>
        <w:rPr>
          <w:rFonts w:hint="eastAsia" w:ascii="仿宋" w:hAnsi="仿宋" w:eastAsia="仿宋"/>
          <w:sz w:val="32"/>
          <w:szCs w:val="32"/>
        </w:rPr>
        <w:t>该交易</w:t>
      </w:r>
      <w:r>
        <w:rPr>
          <w:rFonts w:ascii="仿宋" w:hAnsi="仿宋" w:eastAsia="仿宋"/>
          <w:sz w:val="32"/>
          <w:szCs w:val="32"/>
        </w:rPr>
        <w:t>商当日</w:t>
      </w:r>
      <w:r>
        <w:rPr>
          <w:rFonts w:hint="eastAsia" w:ascii="仿宋" w:hAnsi="仿宋" w:eastAsia="仿宋"/>
          <w:sz w:val="32"/>
          <w:szCs w:val="32"/>
        </w:rPr>
        <w:t>应付</w:t>
      </w:r>
      <w:r>
        <w:rPr>
          <w:rFonts w:ascii="仿宋" w:hAnsi="仿宋" w:eastAsia="仿宋"/>
          <w:sz w:val="32"/>
          <w:szCs w:val="32"/>
        </w:rPr>
        <w:t>资金。</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上海清算所</w:t>
      </w:r>
      <w:r>
        <w:rPr>
          <w:rFonts w:ascii="仿宋" w:hAnsi="仿宋" w:eastAsia="仿宋"/>
          <w:sz w:val="32"/>
          <w:szCs w:val="32"/>
        </w:rPr>
        <w:t>计算现货清算成员应收应付资金。</w:t>
      </w:r>
    </w:p>
    <w:p>
      <w:pPr>
        <w:pStyle w:val="36"/>
        <w:spacing w:line="580" w:lineRule="exact"/>
        <w:ind w:left="600"/>
        <w:jc w:val="both"/>
        <w:rPr>
          <w:rFonts w:hAnsi="仿宋"/>
          <w:sz w:val="32"/>
          <w:szCs w:val="32"/>
        </w:rPr>
      </w:pPr>
      <m:oMath>
        <m:r>
          <m:rPr>
            <m:sty m:val="p"/>
          </m:rPr>
          <w:rPr>
            <w:rFonts w:hint="eastAsia" w:ascii="Cambria Math" w:hAnsi="Cambria Math"/>
            <w:sz w:val="32"/>
            <w:szCs w:val="32"/>
          </w:rPr>
          <m:t>现货清算成员</m:t>
        </m:r>
        <m:sSub>
          <m:sSubPr>
            <m:ctrlPr>
              <w:rPr>
                <w:rFonts w:ascii="Cambria Math" w:hAnsi="Cambria Math"/>
                <w:sz w:val="32"/>
                <w:szCs w:val="32"/>
              </w:rPr>
            </m:ctrlPr>
          </m:sSubPr>
          <m:e>
            <m:r>
              <m:rPr>
                <m:sty m:val="p"/>
              </m:rPr>
              <w:rPr>
                <w:rFonts w:hint="eastAsia" w:ascii="Cambria Math" w:hAnsi="Cambria Math"/>
                <w:sz w:val="32"/>
                <w:szCs w:val="32"/>
              </w:rPr>
              <m:t>现货平台</m:t>
            </m:r>
            <m:ctrlPr>
              <w:rPr>
                <w:rFonts w:ascii="Cambria Math" w:hAnsi="Cambria Math"/>
                <w:sz w:val="32"/>
                <w:szCs w:val="32"/>
              </w:rPr>
            </m:ctrlPr>
          </m:e>
          <m:sub>
            <m:r>
              <w:rPr>
                <w:rFonts w:ascii="Cambria Math" w:hAnsi="Cambria Math"/>
                <w:sz w:val="32"/>
                <w:szCs w:val="32"/>
              </w:rPr>
              <m:t>k</m:t>
            </m:r>
            <m:ctrlPr>
              <w:rPr>
                <w:rFonts w:ascii="Cambria Math" w:hAnsi="Cambria Math"/>
                <w:sz w:val="32"/>
                <w:szCs w:val="32"/>
              </w:rPr>
            </m:ctrlPr>
          </m:sub>
        </m:sSub>
        <m:r>
          <m:rPr>
            <m:sty m:val="p"/>
          </m:rPr>
          <w:rPr>
            <w:rFonts w:hint="eastAsia" w:ascii="Cambria Math" w:hAnsi="Cambria Math"/>
            <w:sz w:val="32"/>
            <w:szCs w:val="32"/>
          </w:rPr>
          <m:t>应收应付资金</m:t>
        </m:r>
        <m:r>
          <m:rPr>
            <m:sty m:val="p"/>
          </m:rPr>
          <w:rPr>
            <w:rFonts w:ascii="Cambria Math" w:hAnsi="Cambria Math"/>
            <w:sz w:val="32"/>
            <w:szCs w:val="32"/>
          </w:rPr>
          <m:t>=</m:t>
        </m:r>
        <m:nary>
          <m:naryPr>
            <m:chr m:val="∑"/>
            <m:limLoc m:val="subSup"/>
            <m:supHide m:val="1"/>
            <m:ctrlPr>
              <w:rPr>
                <w:rFonts w:ascii="Cambria Math" w:hAnsi="Cambria Math"/>
                <w:sz w:val="32"/>
                <w:szCs w:val="32"/>
              </w:rPr>
            </m:ctrlPr>
          </m:naryPr>
          <m:sub>
            <m:r>
              <w:rPr>
                <w:rFonts w:ascii="Cambria Math" w:hAnsi="Cambria Math"/>
                <w:sz w:val="32"/>
                <w:szCs w:val="32"/>
              </w:rPr>
              <m:t>m</m:t>
            </m:r>
            <m:ctrlPr>
              <w:rPr>
                <w:rFonts w:ascii="Cambria Math" w:hAnsi="Cambria Math"/>
                <w:sz w:val="32"/>
                <w:szCs w:val="32"/>
              </w:rPr>
            </m:ctrlPr>
          </m:sub>
          <m:sup>
            <m:ctrlPr>
              <w:rPr>
                <w:rFonts w:ascii="Cambria Math" w:hAnsi="Cambria Math"/>
                <w:sz w:val="32"/>
                <w:szCs w:val="32"/>
              </w:rPr>
            </m:ctrlPr>
          </m:sup>
          <m:e>
            <m:sSub>
              <m:sSubPr>
                <m:ctrlPr>
                  <w:rPr>
                    <w:rFonts w:ascii="Cambria Math" w:hAnsi="Cambria Math"/>
                    <w:sz w:val="32"/>
                    <w:szCs w:val="32"/>
                  </w:rPr>
                </m:ctrlPr>
              </m:sSubPr>
              <m:e>
                <m:r>
                  <m:rPr>
                    <m:sty m:val="p"/>
                  </m:rPr>
                  <w:rPr>
                    <w:rFonts w:hint="eastAsia" w:ascii="Cambria Math" w:hAnsi="Cambria Math"/>
                    <w:sz w:val="32"/>
                    <w:szCs w:val="32"/>
                  </w:rPr>
                  <m:t>交易商</m:t>
                </m:r>
                <m:ctrlPr>
                  <w:rPr>
                    <w:rFonts w:ascii="Cambria Math" w:hAnsi="Cambria Math"/>
                    <w:sz w:val="32"/>
                    <w:szCs w:val="32"/>
                  </w:rPr>
                </m:ctrlPr>
              </m:e>
              <m:sub>
                <m:r>
                  <w:rPr>
                    <w:rFonts w:ascii="Cambria Math" w:hAnsi="Cambria Math"/>
                    <w:sz w:val="32"/>
                    <w:szCs w:val="32"/>
                  </w:rPr>
                  <m:t>m</m:t>
                </m:r>
                <m:ctrlPr>
                  <w:rPr>
                    <w:rFonts w:ascii="Cambria Math" w:hAnsi="Cambria Math"/>
                    <w:sz w:val="32"/>
                    <w:szCs w:val="32"/>
                  </w:rPr>
                </m:ctrlPr>
              </m:sub>
            </m:sSub>
            <m:sSub>
              <m:sSubPr>
                <m:ctrlPr>
                  <w:rPr>
                    <w:rFonts w:ascii="Cambria Math" w:hAnsi="Cambria Math"/>
                    <w:sz w:val="32"/>
                    <w:szCs w:val="32"/>
                  </w:rPr>
                </m:ctrlPr>
              </m:sSubPr>
              <m:e>
                <m:r>
                  <m:rPr>
                    <m:sty m:val="p"/>
                  </m:rPr>
                  <w:rPr>
                    <w:rFonts w:hint="eastAsia" w:ascii="Cambria Math" w:hAnsi="Cambria Math"/>
                    <w:sz w:val="32"/>
                    <w:szCs w:val="32"/>
                  </w:rPr>
                  <m:t>现货平台</m:t>
                </m:r>
                <m:ctrlPr>
                  <w:rPr>
                    <w:rFonts w:ascii="Cambria Math" w:hAnsi="Cambria Math"/>
                    <w:sz w:val="32"/>
                    <w:szCs w:val="32"/>
                  </w:rPr>
                </m:ctrlPr>
              </m:e>
              <m:sub>
                <m:r>
                  <w:rPr>
                    <w:rFonts w:ascii="Cambria Math" w:hAnsi="Cambria Math"/>
                    <w:sz w:val="32"/>
                    <w:szCs w:val="32"/>
                  </w:rPr>
                  <m:t>k</m:t>
                </m:r>
                <m:ctrlPr>
                  <w:rPr>
                    <w:rFonts w:ascii="Cambria Math" w:hAnsi="Cambria Math"/>
                    <w:sz w:val="32"/>
                    <w:szCs w:val="32"/>
                  </w:rPr>
                </m:ctrlPr>
              </m:sub>
            </m:sSub>
            <m:r>
              <m:rPr>
                <m:sty m:val="p"/>
              </m:rPr>
              <w:rPr>
                <w:rFonts w:hint="eastAsia" w:ascii="Cambria Math" w:hAnsi="Cambria Math"/>
                <w:sz w:val="32"/>
                <w:szCs w:val="32"/>
              </w:rPr>
              <m:t>应收应付资金</m:t>
            </m:r>
            <m:ctrlPr>
              <w:rPr>
                <w:rFonts w:ascii="Cambria Math" w:hAnsi="Cambria Math"/>
                <w:sz w:val="32"/>
                <w:szCs w:val="32"/>
              </w:rPr>
            </m:ctrlPr>
          </m:e>
        </m:nary>
        <m:r>
          <w:rPr>
            <w:rFonts w:ascii="Cambria Math" w:hAnsi="Cambria Math"/>
            <w:sz w:val="32"/>
            <w:szCs w:val="32"/>
          </w:rPr>
          <m:t>-</m:t>
        </m:r>
        <m:r>
          <m:rPr>
            <m:sty m:val="p"/>
          </m:rPr>
          <w:rPr>
            <w:rFonts w:ascii="Cambria Math" w:hAnsi="Cambria Math"/>
            <w:sz w:val="32"/>
            <w:szCs w:val="32"/>
          </w:rPr>
          <m:t>相关费用</m:t>
        </m:r>
      </m:oMath>
      <w:r>
        <w:rPr>
          <w:rFonts w:hAnsi="仿宋"/>
          <w:sz w:val="32"/>
          <w:szCs w:val="32"/>
        </w:rPr>
        <w:t xml:space="preserve"> </w:t>
      </w:r>
    </w:p>
    <w:p>
      <w:pPr>
        <w:pStyle w:val="37"/>
        <w:spacing w:line="580" w:lineRule="exact"/>
        <w:ind w:left="-147" w:firstLine="640"/>
        <w:rPr>
          <w:rFonts w:ascii="仿宋" w:hAnsi="仿宋" w:eastAsia="仿宋"/>
          <w:sz w:val="32"/>
          <w:szCs w:val="32"/>
        </w:rPr>
      </w:pPr>
      <w:r>
        <w:rPr>
          <w:rFonts w:hint="eastAsia" w:ascii="仿宋" w:hAnsi="仿宋" w:eastAsia="仿宋"/>
          <w:sz w:val="32"/>
          <w:szCs w:val="32"/>
        </w:rPr>
        <w:t>其中，</w:t>
      </w:r>
      <m:oMath>
        <m:sSub>
          <m:sSubPr>
            <m:ctrlPr>
              <w:rPr>
                <w:rFonts w:ascii="Cambria Math" w:hAnsi="Cambria Math" w:eastAsia="仿宋"/>
                <w:sz w:val="32"/>
                <w:szCs w:val="32"/>
              </w:rPr>
            </m:ctrlPr>
          </m:sSubPr>
          <m:e>
            <m:r>
              <m:rPr>
                <m:sty m:val="p"/>
              </m:rPr>
              <w:rPr>
                <w:rFonts w:hint="eastAsia" w:ascii="Cambria Math" w:hAnsi="Cambria Math" w:eastAsia="仿宋"/>
                <w:sz w:val="32"/>
                <w:szCs w:val="32"/>
              </w:rPr>
              <m:t>交易商</m:t>
            </m:r>
            <m:ctrlPr>
              <w:rPr>
                <w:rFonts w:ascii="Cambria Math" w:hAnsi="Cambria Math" w:eastAsia="仿宋"/>
                <w:sz w:val="32"/>
                <w:szCs w:val="32"/>
              </w:rPr>
            </m:ctrlPr>
          </m:e>
          <m:sub>
            <m:r>
              <w:rPr>
                <w:rFonts w:ascii="Cambria Math" w:hAnsi="Cambria Math" w:eastAsia="仿宋"/>
                <w:sz w:val="32"/>
                <w:szCs w:val="32"/>
              </w:rPr>
              <m:t>m</m:t>
            </m:r>
            <m:ctrlPr>
              <w:rPr>
                <w:rFonts w:ascii="Cambria Math" w:hAnsi="Cambria Math" w:eastAsia="仿宋"/>
                <w:sz w:val="32"/>
                <w:szCs w:val="32"/>
              </w:rPr>
            </m:ctrlPr>
          </m:sub>
        </m:sSub>
      </m:oMath>
      <w:r>
        <w:rPr>
          <w:rFonts w:hint="eastAsia" w:ascii="仿宋" w:hAnsi="仿宋" w:eastAsia="仿宋"/>
          <w:sz w:val="32"/>
          <w:szCs w:val="32"/>
        </w:rPr>
        <w:t>代表该现货清算成员提供资金结算服务的第</w:t>
      </w:r>
      <w:r>
        <w:rPr>
          <w:rFonts w:ascii="仿宋" w:hAnsi="仿宋" w:eastAsia="仿宋"/>
          <w:sz w:val="32"/>
          <w:szCs w:val="32"/>
        </w:rPr>
        <w:t>m</w:t>
      </w:r>
      <w:r>
        <w:rPr>
          <w:rFonts w:hint="eastAsia" w:ascii="仿宋" w:hAnsi="仿宋" w:eastAsia="仿宋"/>
          <w:sz w:val="32"/>
          <w:szCs w:val="32"/>
        </w:rPr>
        <w:t>个客户；</w:t>
      </w:r>
      <w:r>
        <w:rPr>
          <w:rFonts w:ascii="仿宋" w:hAnsi="仿宋" w:eastAsia="仿宋"/>
          <w:sz w:val="32"/>
          <w:szCs w:val="32"/>
        </w:rPr>
        <w:t>清算费等相</w:t>
      </w:r>
      <w:r>
        <w:rPr>
          <w:rFonts w:hint="eastAsia" w:ascii="仿宋" w:hAnsi="仿宋" w:eastAsia="仿宋"/>
          <w:sz w:val="32"/>
          <w:szCs w:val="32"/>
        </w:rPr>
        <w:t>关费用每日计算、定期计收。清算费等相关费用仅在费用计收日计入现货清算成员当日应收应付金额，非每日扣收。</w:t>
      </w:r>
    </w:p>
    <w:p>
      <w:pPr>
        <w:pStyle w:val="37"/>
        <w:spacing w:line="580" w:lineRule="exact"/>
        <w:ind w:left="-147" w:firstLine="640"/>
        <w:rPr>
          <w:rFonts w:ascii="仿宋" w:hAnsi="仿宋" w:eastAsia="仿宋"/>
          <w:sz w:val="32"/>
          <w:szCs w:val="32"/>
        </w:rPr>
      </w:pPr>
      <w:r>
        <w:rPr>
          <w:rFonts w:hint="eastAsia" w:ascii="仿宋" w:hAnsi="仿宋" w:eastAsia="仿宋"/>
          <w:sz w:val="32"/>
          <w:szCs w:val="32"/>
        </w:rPr>
        <w:t>应收应付资金大于零的，该现货清算成员当日应收资金；应收应付资金小于零的，该现货清算成员当日应付资金。</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现货清算成员根据</w:t>
      </w:r>
      <w:r>
        <w:rPr>
          <w:rFonts w:ascii="仿宋" w:hAnsi="仿宋" w:eastAsia="仿宋"/>
          <w:sz w:val="32"/>
          <w:szCs w:val="32"/>
        </w:rPr>
        <w:t>上海清算所发送的资金结算清单冻结交易商相应资金，同时将资金冻结结果反馈至上海清算所。</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交易商资金冻结成功的</w:t>
      </w:r>
      <w:r>
        <w:rPr>
          <w:rFonts w:ascii="仿宋" w:hAnsi="仿宋" w:eastAsia="仿宋"/>
          <w:sz w:val="32"/>
          <w:szCs w:val="32"/>
        </w:rPr>
        <w:t>，</w:t>
      </w:r>
      <w:r>
        <w:rPr>
          <w:rFonts w:hint="eastAsia" w:ascii="仿宋" w:hAnsi="仿宋" w:eastAsia="仿宋"/>
          <w:sz w:val="32"/>
          <w:szCs w:val="32"/>
        </w:rPr>
        <w:t>上海清算所将从现货清算成员</w:t>
      </w:r>
      <w:r>
        <w:rPr>
          <w:rFonts w:ascii="仿宋" w:hAnsi="仿宋" w:eastAsia="仿宋"/>
          <w:sz w:val="32"/>
          <w:szCs w:val="32"/>
        </w:rPr>
        <w:t>资金结算</w:t>
      </w:r>
      <w:r>
        <w:rPr>
          <w:rFonts w:hint="eastAsia" w:ascii="仿宋" w:hAnsi="仿宋" w:eastAsia="仿宋"/>
          <w:sz w:val="32"/>
          <w:szCs w:val="32"/>
        </w:rPr>
        <w:t>账户扣收现货清算成员应付资金。现货清算成员应付资金大于其资金结算账户余额的，</w:t>
      </w:r>
      <w:r>
        <w:rPr>
          <w:rFonts w:ascii="仿宋" w:hAnsi="仿宋" w:eastAsia="仿宋"/>
          <w:sz w:val="32"/>
          <w:szCs w:val="32"/>
        </w:rPr>
        <w:t>上海清算所可从其大额支付系统清算账户扣收</w:t>
      </w:r>
      <w:r>
        <w:rPr>
          <w:rFonts w:hint="eastAsia" w:ascii="仿宋" w:hAnsi="仿宋" w:eastAsia="仿宋"/>
          <w:sz w:val="32"/>
          <w:szCs w:val="32"/>
        </w:rPr>
        <w:t>。</w:t>
      </w:r>
    </w:p>
    <w:p>
      <w:pPr>
        <w:pStyle w:val="37"/>
        <w:spacing w:line="580" w:lineRule="exact"/>
        <w:ind w:left="-147" w:firstLine="640"/>
        <w:rPr>
          <w:rFonts w:ascii="仿宋" w:hAnsi="仿宋" w:eastAsia="仿宋"/>
          <w:sz w:val="32"/>
          <w:szCs w:val="32"/>
        </w:rPr>
      </w:pPr>
      <w:r>
        <w:rPr>
          <w:rFonts w:hint="eastAsia" w:ascii="仿宋" w:hAnsi="仿宋" w:eastAsia="仿宋"/>
          <w:sz w:val="32"/>
          <w:szCs w:val="32"/>
        </w:rPr>
        <w:t>交易商资金冻结失败的，</w:t>
      </w:r>
      <w:r>
        <w:rPr>
          <w:rFonts w:ascii="仿宋" w:hAnsi="仿宋" w:eastAsia="仿宋"/>
          <w:sz w:val="32"/>
          <w:szCs w:val="32"/>
        </w:rPr>
        <w:t>上海清算所</w:t>
      </w:r>
      <w:r>
        <w:rPr>
          <w:rFonts w:hint="eastAsia" w:ascii="仿宋" w:hAnsi="仿宋" w:eastAsia="仿宋"/>
          <w:sz w:val="32"/>
          <w:szCs w:val="32"/>
        </w:rPr>
        <w:t>按照</w:t>
      </w:r>
      <w:r>
        <w:rPr>
          <w:rFonts w:ascii="仿宋" w:hAnsi="仿宋" w:eastAsia="仿宋"/>
          <w:sz w:val="32"/>
          <w:szCs w:val="32"/>
        </w:rPr>
        <w:t>如下顺序</w:t>
      </w:r>
      <w:r>
        <w:rPr>
          <w:rFonts w:hint="eastAsia" w:ascii="仿宋" w:hAnsi="仿宋" w:eastAsia="仿宋"/>
          <w:sz w:val="32"/>
          <w:szCs w:val="32"/>
        </w:rPr>
        <w:t>进行撤单操作：</w:t>
      </w:r>
    </w:p>
    <w:p>
      <w:pPr>
        <w:pStyle w:val="37"/>
        <w:spacing w:line="580" w:lineRule="exact"/>
        <w:ind w:left="-147" w:firstLine="64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确定待</w:t>
      </w:r>
      <w:r>
        <w:rPr>
          <w:rFonts w:ascii="仿宋" w:hAnsi="仿宋" w:eastAsia="仿宋"/>
          <w:sz w:val="32"/>
          <w:szCs w:val="32"/>
        </w:rPr>
        <w:t>撤销</w:t>
      </w:r>
      <w:r>
        <w:rPr>
          <w:rFonts w:hint="eastAsia" w:ascii="仿宋" w:hAnsi="仿宋" w:eastAsia="仿宋"/>
          <w:sz w:val="32"/>
          <w:szCs w:val="32"/>
        </w:rPr>
        <w:t>交易选择范围</w:t>
      </w:r>
      <w:r>
        <w:rPr>
          <w:rFonts w:ascii="仿宋" w:hAnsi="仿宋" w:eastAsia="仿宋"/>
          <w:sz w:val="32"/>
          <w:szCs w:val="32"/>
        </w:rPr>
        <w:t>。</w:t>
      </w:r>
      <w:r>
        <w:rPr>
          <w:rFonts w:hint="eastAsia" w:ascii="仿宋" w:hAnsi="仿宋" w:eastAsia="仿宋"/>
          <w:sz w:val="32"/>
          <w:szCs w:val="32"/>
        </w:rPr>
        <w:t>买方为该交易商的交易，</w:t>
      </w:r>
      <w:r>
        <w:rPr>
          <w:rFonts w:ascii="仿宋" w:hAnsi="仿宋" w:eastAsia="仿宋"/>
          <w:sz w:val="32"/>
          <w:szCs w:val="32"/>
        </w:rPr>
        <w:t>列入</w:t>
      </w:r>
      <w:r>
        <w:rPr>
          <w:rFonts w:hint="eastAsia" w:ascii="仿宋" w:hAnsi="仿宋" w:eastAsia="仿宋"/>
          <w:sz w:val="32"/>
          <w:szCs w:val="32"/>
        </w:rPr>
        <w:t>待</w:t>
      </w:r>
      <w:r>
        <w:rPr>
          <w:rFonts w:ascii="仿宋" w:hAnsi="仿宋" w:eastAsia="仿宋"/>
          <w:sz w:val="32"/>
          <w:szCs w:val="32"/>
        </w:rPr>
        <w:t>撤销</w:t>
      </w:r>
      <w:r>
        <w:rPr>
          <w:rFonts w:hint="eastAsia" w:ascii="仿宋" w:hAnsi="仿宋" w:eastAsia="仿宋"/>
          <w:sz w:val="32"/>
          <w:szCs w:val="32"/>
        </w:rPr>
        <w:t>交易选择范围。</w:t>
      </w:r>
    </w:p>
    <w:p>
      <w:pPr>
        <w:pStyle w:val="37"/>
        <w:spacing w:line="580" w:lineRule="exact"/>
        <w:ind w:left="-147" w:firstLine="64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确定待</w:t>
      </w:r>
      <w:r>
        <w:rPr>
          <w:rFonts w:ascii="仿宋" w:hAnsi="仿宋" w:eastAsia="仿宋"/>
          <w:sz w:val="32"/>
          <w:szCs w:val="32"/>
        </w:rPr>
        <w:t>撤销交易。</w:t>
      </w:r>
    </w:p>
    <w:p>
      <w:pPr>
        <w:pStyle w:val="37"/>
        <w:spacing w:line="580" w:lineRule="exact"/>
        <w:ind w:left="-147" w:firstLine="64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计算每笔交易的应付差额</w:t>
      </w:r>
    </w:p>
    <w:p>
      <w:pPr>
        <w:pStyle w:val="37"/>
        <w:spacing w:line="580" w:lineRule="exact"/>
        <w:ind w:left="-147" w:firstLine="640"/>
        <w:rPr>
          <w:rFonts w:ascii="仿宋" w:hAnsi="仿宋" w:eastAsia="仿宋"/>
          <w:sz w:val="32"/>
          <w:szCs w:val="32"/>
        </w:rPr>
      </w:pPr>
      <m:oMath>
        <m:sSub>
          <m:sSubPr>
            <m:ctrlPr>
              <w:rPr>
                <w:rFonts w:ascii="Cambria Math" w:hAnsi="Cambria Math" w:eastAsia="仿宋"/>
                <w:sz w:val="32"/>
                <w:szCs w:val="32"/>
              </w:rPr>
            </m:ctrlPr>
          </m:sSubPr>
          <m:e>
            <m:r>
              <m:rPr>
                <m:sty m:val="p"/>
              </m:rPr>
              <w:rPr>
                <w:rFonts w:hint="eastAsia" w:ascii="Cambria Math" w:hAnsi="Cambria Math" w:eastAsia="仿宋"/>
                <w:sz w:val="32"/>
                <w:szCs w:val="32"/>
              </w:rPr>
              <m:t>交易</m:t>
            </m:r>
            <m:ctrlPr>
              <w:rPr>
                <w:rFonts w:ascii="Cambria Math" w:hAnsi="Cambria Math" w:eastAsia="仿宋"/>
                <w:sz w:val="32"/>
                <w:szCs w:val="32"/>
              </w:rPr>
            </m:ctrlPr>
          </m:e>
          <m:sub>
            <m:r>
              <w:rPr>
                <w:rFonts w:ascii="Cambria Math" w:hAnsi="Cambria Math" w:eastAsia="仿宋"/>
                <w:sz w:val="32"/>
                <w:szCs w:val="32"/>
              </w:rPr>
              <m:t>i</m:t>
            </m:r>
            <m:ctrlPr>
              <w:rPr>
                <w:rFonts w:ascii="Cambria Math" w:hAnsi="Cambria Math" w:eastAsia="仿宋"/>
                <w:sz w:val="32"/>
                <w:szCs w:val="32"/>
              </w:rPr>
            </m:ctrlPr>
          </m:sub>
        </m:sSub>
        <m:r>
          <m:rPr>
            <m:sty m:val="p"/>
          </m:rPr>
          <w:rPr>
            <w:rFonts w:hint="eastAsia" w:ascii="Cambria Math" w:hAnsi="Cambria Math" w:eastAsia="仿宋"/>
            <w:sz w:val="32"/>
            <w:szCs w:val="32"/>
          </w:rPr>
          <m:t>应付差额</m:t>
        </m:r>
        <m:r>
          <m:rPr>
            <m:sty m:val="p"/>
          </m:rPr>
          <w:rPr>
            <w:rFonts w:ascii="Cambria Math" w:hAnsi="Cambria Math" w:eastAsia="仿宋"/>
            <w:sz w:val="32"/>
            <w:szCs w:val="32"/>
          </w:rPr>
          <m:t>=</m:t>
        </m:r>
        <m:sSub>
          <m:sSubPr>
            <m:ctrlPr>
              <w:rPr>
                <w:rFonts w:ascii="Cambria Math" w:hAnsi="Cambria Math" w:eastAsia="仿宋"/>
                <w:sz w:val="32"/>
                <w:szCs w:val="32"/>
              </w:rPr>
            </m:ctrlPr>
          </m:sSubPr>
          <m:e>
            <m:r>
              <m:rPr>
                <m:sty m:val="p"/>
              </m:rPr>
              <w:rPr>
                <w:rFonts w:hint="eastAsia" w:ascii="Cambria Math" w:hAnsi="Cambria Math" w:eastAsia="仿宋"/>
                <w:sz w:val="32"/>
                <w:szCs w:val="32"/>
              </w:rPr>
              <m:t>交易</m:t>
            </m:r>
            <m:ctrlPr>
              <w:rPr>
                <w:rFonts w:ascii="Cambria Math" w:hAnsi="Cambria Math" w:eastAsia="仿宋"/>
                <w:sz w:val="32"/>
                <w:szCs w:val="32"/>
              </w:rPr>
            </m:ctrlPr>
          </m:e>
          <m:sub>
            <m:r>
              <w:rPr>
                <w:rFonts w:ascii="Cambria Math" w:hAnsi="Cambria Math" w:eastAsia="仿宋"/>
                <w:sz w:val="32"/>
                <w:szCs w:val="32"/>
              </w:rPr>
              <m:t>i</m:t>
            </m:r>
            <m:ctrlPr>
              <w:rPr>
                <w:rFonts w:ascii="Cambria Math" w:hAnsi="Cambria Math" w:eastAsia="仿宋"/>
                <w:sz w:val="32"/>
                <w:szCs w:val="32"/>
              </w:rPr>
            </m:ctrlPr>
          </m:sub>
        </m:sSub>
        <m:r>
          <m:rPr>
            <m:sty m:val="p"/>
          </m:rPr>
          <w:rPr>
            <w:rFonts w:hint="eastAsia" w:ascii="Cambria Math" w:hAnsi="Cambria Math" w:eastAsia="仿宋"/>
            <w:sz w:val="32"/>
            <w:szCs w:val="32"/>
          </w:rPr>
          <m:t>成交金额</m:t>
        </m:r>
        <m:r>
          <m:rPr>
            <m:sty m:val="p"/>
          </m:rPr>
          <w:rPr>
            <w:rFonts w:ascii="Cambria Math" w:hAnsi="Cambria Math" w:eastAsia="仿宋"/>
            <w:sz w:val="32"/>
            <w:szCs w:val="32"/>
          </w:rPr>
          <m:t>-</m:t>
        </m:r>
        <m:sSub>
          <m:sSubPr>
            <m:ctrlPr>
              <w:rPr>
                <w:rFonts w:ascii="Cambria Math" w:hAnsi="Cambria Math" w:eastAsia="仿宋"/>
                <w:sz w:val="32"/>
                <w:szCs w:val="32"/>
              </w:rPr>
            </m:ctrlPr>
          </m:sSubPr>
          <m:e>
            <m:r>
              <m:rPr>
                <m:sty m:val="p"/>
              </m:rPr>
              <w:rPr>
                <w:rFonts w:hint="eastAsia" w:ascii="Cambria Math" w:hAnsi="Cambria Math" w:eastAsia="仿宋"/>
                <w:sz w:val="32"/>
                <w:szCs w:val="32"/>
              </w:rPr>
              <m:t>交易</m:t>
            </m:r>
            <m:ctrlPr>
              <w:rPr>
                <w:rFonts w:ascii="Cambria Math" w:hAnsi="Cambria Math" w:eastAsia="仿宋"/>
                <w:sz w:val="32"/>
                <w:szCs w:val="32"/>
              </w:rPr>
            </m:ctrlPr>
          </m:e>
          <m:sub>
            <m:r>
              <w:rPr>
                <w:rFonts w:ascii="Cambria Math" w:hAnsi="Cambria Math" w:eastAsia="仿宋"/>
                <w:sz w:val="32"/>
                <w:szCs w:val="32"/>
              </w:rPr>
              <m:t>i</m:t>
            </m:r>
            <m:ctrlPr>
              <w:rPr>
                <w:rFonts w:ascii="Cambria Math" w:hAnsi="Cambria Math" w:eastAsia="仿宋"/>
                <w:sz w:val="32"/>
                <w:szCs w:val="32"/>
              </w:rPr>
            </m:ctrlPr>
          </m:sub>
        </m:sSub>
        <m:r>
          <m:rPr>
            <m:sty m:val="p"/>
          </m:rPr>
          <w:rPr>
            <w:rFonts w:hint="eastAsia" w:ascii="Cambria Math" w:hAnsi="Cambria Math" w:eastAsia="仿宋"/>
            <w:sz w:val="32"/>
            <w:szCs w:val="32"/>
          </w:rPr>
          <m:t>交收定金</m:t>
        </m:r>
      </m:oMath>
      <w:r>
        <w:rPr>
          <w:rFonts w:ascii="仿宋" w:hAnsi="仿宋" w:eastAsia="仿宋"/>
          <w:sz w:val="32"/>
          <w:szCs w:val="32"/>
        </w:rPr>
        <w:t xml:space="preserve"> </w:t>
      </w:r>
    </w:p>
    <w:p>
      <w:pPr>
        <w:pStyle w:val="37"/>
        <w:spacing w:line="580" w:lineRule="exact"/>
        <w:ind w:left="-147" w:firstLine="64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确定待</w:t>
      </w:r>
      <w:r>
        <w:rPr>
          <w:rFonts w:ascii="仿宋" w:hAnsi="仿宋" w:eastAsia="仿宋"/>
          <w:sz w:val="32"/>
          <w:szCs w:val="32"/>
        </w:rPr>
        <w:t>撤销交易</w:t>
      </w:r>
    </w:p>
    <w:p>
      <w:pPr>
        <w:pStyle w:val="37"/>
        <w:spacing w:line="580" w:lineRule="exact"/>
        <w:ind w:left="-147" w:firstLine="640"/>
        <w:rPr>
          <w:rFonts w:ascii="仿宋" w:hAnsi="仿宋" w:eastAsia="仿宋"/>
          <w:sz w:val="32"/>
          <w:szCs w:val="32"/>
        </w:rPr>
      </w:pPr>
      <w:r>
        <w:rPr>
          <w:rFonts w:hint="eastAsia" w:ascii="仿宋" w:hAnsi="仿宋" w:eastAsia="仿宋"/>
          <w:sz w:val="32"/>
          <w:szCs w:val="32"/>
        </w:rPr>
        <w:t>将待</w:t>
      </w:r>
      <w:r>
        <w:rPr>
          <w:rFonts w:ascii="仿宋" w:hAnsi="仿宋" w:eastAsia="仿宋"/>
          <w:sz w:val="32"/>
          <w:szCs w:val="32"/>
        </w:rPr>
        <w:t>撤销</w:t>
      </w:r>
      <w:r>
        <w:rPr>
          <w:rFonts w:hint="eastAsia" w:ascii="仿宋" w:hAnsi="仿宋" w:eastAsia="仿宋"/>
          <w:sz w:val="32"/>
          <w:szCs w:val="32"/>
        </w:rPr>
        <w:t>交易选择范围内的</w:t>
      </w:r>
      <w:r>
        <w:rPr>
          <w:rFonts w:ascii="仿宋" w:hAnsi="仿宋" w:eastAsia="仿宋"/>
          <w:sz w:val="32"/>
          <w:szCs w:val="32"/>
        </w:rPr>
        <w:t>交易</w:t>
      </w:r>
      <w:r>
        <w:rPr>
          <w:rFonts w:hint="eastAsia" w:ascii="仿宋" w:hAnsi="仿宋" w:eastAsia="仿宋"/>
          <w:sz w:val="32"/>
          <w:szCs w:val="32"/>
        </w:rPr>
        <w:t>分为</w:t>
      </w:r>
      <w:r>
        <w:rPr>
          <w:rFonts w:ascii="仿宋" w:hAnsi="仿宋" w:eastAsia="仿宋"/>
          <w:sz w:val="32"/>
          <w:szCs w:val="32"/>
        </w:rPr>
        <w:t>两级：</w:t>
      </w:r>
    </w:p>
    <w:p>
      <w:pPr>
        <w:pStyle w:val="37"/>
        <w:spacing w:line="580" w:lineRule="exact"/>
        <w:ind w:left="-147" w:firstLine="640"/>
        <w:rPr>
          <w:rFonts w:ascii="仿宋" w:hAnsi="仿宋" w:eastAsia="仿宋"/>
          <w:sz w:val="32"/>
          <w:szCs w:val="32"/>
        </w:rPr>
      </w:pPr>
      <w:r>
        <w:rPr>
          <w:rFonts w:hint="eastAsia" w:ascii="仿宋" w:hAnsi="仿宋" w:eastAsia="仿宋"/>
          <w:sz w:val="32"/>
          <w:szCs w:val="32"/>
        </w:rPr>
        <w:t>一是</w:t>
      </w:r>
      <w:r>
        <w:rPr>
          <w:rFonts w:ascii="仿宋" w:hAnsi="仿宋" w:eastAsia="仿宋"/>
          <w:sz w:val="32"/>
          <w:szCs w:val="32"/>
        </w:rPr>
        <w:t>，</w:t>
      </w:r>
      <w:r>
        <w:rPr>
          <w:rFonts w:hint="eastAsia" w:ascii="仿宋" w:hAnsi="仿宋" w:eastAsia="仿宋"/>
          <w:sz w:val="32"/>
          <w:szCs w:val="32"/>
        </w:rPr>
        <w:t>应付差额</w:t>
      </w:r>
      <m:oMath>
        <m:r>
          <m:rPr>
            <m:sty m:val="p"/>
          </m:rPr>
          <w:rPr>
            <w:rFonts w:hint="eastAsia" w:ascii="Cambria Math" w:hAnsi="Cambria Math" w:eastAsia="仿宋"/>
            <w:sz w:val="32"/>
            <w:szCs w:val="32"/>
          </w:rPr>
          <m:t>≥</m:t>
        </m:r>
      </m:oMath>
      <w:r>
        <w:rPr>
          <w:rFonts w:hint="eastAsia" w:ascii="仿宋" w:hAnsi="仿宋" w:eastAsia="仿宋"/>
          <w:sz w:val="32"/>
          <w:szCs w:val="32"/>
        </w:rPr>
        <w:t>该交易商应追加冻结资金的交易。</w:t>
      </w:r>
    </w:p>
    <w:p>
      <w:pPr>
        <w:pStyle w:val="37"/>
        <w:spacing w:line="580" w:lineRule="exact"/>
        <w:ind w:left="-147" w:firstLine="640"/>
        <w:rPr>
          <w:rFonts w:ascii="仿宋" w:hAnsi="仿宋" w:eastAsia="仿宋"/>
          <w:sz w:val="32"/>
          <w:szCs w:val="32"/>
        </w:rPr>
      </w:pPr>
      <w:r>
        <w:rPr>
          <w:rFonts w:hint="eastAsia" w:ascii="仿宋" w:hAnsi="仿宋" w:eastAsia="仿宋"/>
          <w:sz w:val="32"/>
          <w:szCs w:val="32"/>
        </w:rPr>
        <w:t>二是</w:t>
      </w:r>
      <w:r>
        <w:rPr>
          <w:rFonts w:ascii="仿宋" w:hAnsi="仿宋" w:eastAsia="仿宋"/>
          <w:sz w:val="32"/>
          <w:szCs w:val="32"/>
        </w:rPr>
        <w:t>，</w:t>
      </w:r>
      <w:r>
        <w:rPr>
          <w:rFonts w:hint="eastAsia" w:ascii="仿宋" w:hAnsi="仿宋" w:eastAsia="仿宋"/>
          <w:sz w:val="32"/>
          <w:szCs w:val="32"/>
        </w:rPr>
        <w:t>应付差额</w:t>
      </w:r>
      <m:oMath>
        <m:r>
          <m:rPr>
            <m:sty m:val="p"/>
          </m:rPr>
          <w:rPr>
            <w:rFonts w:ascii="Cambria Math" w:hAnsi="Cambria Math" w:eastAsia="仿宋"/>
            <w:sz w:val="32"/>
            <w:szCs w:val="32"/>
          </w:rPr>
          <m:t>&lt;</m:t>
        </m:r>
      </m:oMath>
      <w:r>
        <w:rPr>
          <w:rFonts w:hint="eastAsia" w:ascii="仿宋" w:hAnsi="仿宋" w:eastAsia="仿宋"/>
          <w:sz w:val="32"/>
          <w:szCs w:val="32"/>
        </w:rPr>
        <w:t>该交易商应追加冻结资金的交易。</w:t>
      </w:r>
    </w:p>
    <w:p>
      <w:pPr>
        <w:pStyle w:val="37"/>
        <w:spacing w:line="580" w:lineRule="exact"/>
        <w:ind w:left="-147" w:firstLine="640"/>
        <w:rPr>
          <w:rFonts w:ascii="仿宋" w:hAnsi="仿宋" w:eastAsia="仿宋"/>
          <w:sz w:val="32"/>
          <w:szCs w:val="32"/>
        </w:rPr>
      </w:pPr>
      <w:r>
        <w:rPr>
          <w:rFonts w:hint="eastAsia" w:ascii="仿宋" w:hAnsi="仿宋" w:eastAsia="仿宋"/>
          <w:sz w:val="32"/>
          <w:szCs w:val="32"/>
        </w:rPr>
        <w:t>如</w:t>
      </w:r>
      <w:r>
        <w:rPr>
          <w:rFonts w:ascii="仿宋" w:hAnsi="仿宋" w:eastAsia="仿宋"/>
          <w:sz w:val="32"/>
          <w:szCs w:val="32"/>
        </w:rPr>
        <w:t>第一层级</w:t>
      </w:r>
      <w:r>
        <w:rPr>
          <w:rFonts w:hint="eastAsia" w:ascii="仿宋" w:hAnsi="仿宋" w:eastAsia="仿宋"/>
          <w:sz w:val="32"/>
          <w:szCs w:val="32"/>
        </w:rPr>
        <w:t>交易</w:t>
      </w:r>
      <w:r>
        <w:rPr>
          <w:rFonts w:ascii="仿宋" w:hAnsi="仿宋" w:eastAsia="仿宋"/>
          <w:sz w:val="32"/>
          <w:szCs w:val="32"/>
        </w:rPr>
        <w:t>数量不为零，则选择</w:t>
      </w:r>
      <w:r>
        <w:rPr>
          <w:rFonts w:hint="eastAsia" w:ascii="仿宋" w:hAnsi="仿宋" w:eastAsia="仿宋"/>
          <w:sz w:val="32"/>
          <w:szCs w:val="32"/>
        </w:rPr>
        <w:t>应付差额最小的一笔作为待</w:t>
      </w:r>
      <w:r>
        <w:rPr>
          <w:rFonts w:ascii="仿宋" w:hAnsi="仿宋" w:eastAsia="仿宋"/>
          <w:sz w:val="32"/>
          <w:szCs w:val="32"/>
        </w:rPr>
        <w:t>撤销交易</w:t>
      </w:r>
      <w:r>
        <w:rPr>
          <w:rFonts w:hint="eastAsia" w:ascii="仿宋" w:hAnsi="仿宋" w:eastAsia="仿宋"/>
          <w:sz w:val="32"/>
          <w:szCs w:val="32"/>
        </w:rPr>
        <w:t>；</w:t>
      </w:r>
      <w:r>
        <w:rPr>
          <w:rFonts w:ascii="仿宋" w:hAnsi="仿宋" w:eastAsia="仿宋"/>
          <w:sz w:val="32"/>
          <w:szCs w:val="32"/>
        </w:rPr>
        <w:t>如第一层级交易数量为零，</w:t>
      </w:r>
      <w:r>
        <w:rPr>
          <w:rFonts w:hint="eastAsia" w:ascii="仿宋" w:hAnsi="仿宋" w:eastAsia="仿宋"/>
          <w:sz w:val="32"/>
          <w:szCs w:val="32"/>
        </w:rPr>
        <w:t>则将待</w:t>
      </w:r>
      <w:r>
        <w:rPr>
          <w:rFonts w:ascii="仿宋" w:hAnsi="仿宋" w:eastAsia="仿宋"/>
          <w:sz w:val="32"/>
          <w:szCs w:val="32"/>
        </w:rPr>
        <w:t>撤销</w:t>
      </w:r>
      <w:r>
        <w:rPr>
          <w:rFonts w:hint="eastAsia" w:ascii="仿宋" w:hAnsi="仿宋" w:eastAsia="仿宋"/>
          <w:sz w:val="32"/>
          <w:szCs w:val="32"/>
        </w:rPr>
        <w:t>交易选择范围内的</w:t>
      </w:r>
      <w:r>
        <w:rPr>
          <w:rFonts w:ascii="仿宋" w:hAnsi="仿宋" w:eastAsia="仿宋"/>
          <w:sz w:val="32"/>
          <w:szCs w:val="32"/>
        </w:rPr>
        <w:t>交易</w:t>
      </w:r>
      <w:r>
        <w:rPr>
          <w:rFonts w:hint="eastAsia" w:ascii="仿宋" w:hAnsi="仿宋" w:eastAsia="仿宋"/>
          <w:sz w:val="32"/>
          <w:szCs w:val="32"/>
        </w:rPr>
        <w:t>两两组合，计算每个组合的应付差额，按照上述方法计算撤单交易，并以此类推。</w:t>
      </w:r>
    </w:p>
    <w:p>
      <w:pPr>
        <w:pStyle w:val="37"/>
        <w:spacing w:line="580" w:lineRule="exact"/>
        <w:ind w:left="-147" w:firstLine="64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撤单操作的</w:t>
      </w:r>
      <w:r>
        <w:rPr>
          <w:rFonts w:ascii="仿宋" w:hAnsi="仿宋" w:eastAsia="仿宋"/>
          <w:sz w:val="32"/>
          <w:szCs w:val="32"/>
        </w:rPr>
        <w:t>执行</w:t>
      </w:r>
      <w:r>
        <w:rPr>
          <w:rFonts w:hint="eastAsia" w:ascii="仿宋" w:hAnsi="仿宋" w:eastAsia="仿宋"/>
          <w:sz w:val="32"/>
          <w:szCs w:val="32"/>
        </w:rPr>
        <w:t>。</w:t>
      </w:r>
    </w:p>
    <w:p>
      <w:pPr>
        <w:pStyle w:val="37"/>
        <w:spacing w:line="580" w:lineRule="exact"/>
        <w:ind w:left="-147" w:firstLine="640"/>
        <w:rPr>
          <w:rFonts w:ascii="仿宋" w:hAnsi="仿宋" w:eastAsia="仿宋"/>
          <w:sz w:val="32"/>
          <w:szCs w:val="32"/>
        </w:rPr>
      </w:pPr>
      <w:r>
        <w:rPr>
          <w:rFonts w:hint="eastAsia" w:ascii="仿宋" w:hAnsi="仿宋" w:eastAsia="仿宋"/>
          <w:sz w:val="32"/>
          <w:szCs w:val="32"/>
        </w:rPr>
        <w:t>确定待撤销交易后，上海清算所执行撤单操作，重新进行资金清算结算处理。</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现货清算成员应付资金扣收成功的</w:t>
      </w:r>
      <w:r>
        <w:rPr>
          <w:rFonts w:ascii="仿宋" w:hAnsi="仿宋" w:eastAsia="仿宋"/>
          <w:sz w:val="32"/>
          <w:szCs w:val="32"/>
        </w:rPr>
        <w:t>，</w:t>
      </w:r>
      <w:r>
        <w:rPr>
          <w:rFonts w:hint="eastAsia" w:ascii="仿宋" w:hAnsi="仿宋" w:eastAsia="仿宋"/>
          <w:sz w:val="32"/>
          <w:szCs w:val="32"/>
        </w:rPr>
        <w:t>上海清算所通知</w:t>
      </w:r>
      <w:r>
        <w:rPr>
          <w:rFonts w:ascii="仿宋" w:hAnsi="仿宋" w:eastAsia="仿宋"/>
          <w:sz w:val="32"/>
          <w:szCs w:val="32"/>
        </w:rPr>
        <w:t>现货</w:t>
      </w:r>
      <w:r>
        <w:rPr>
          <w:rFonts w:hint="eastAsia" w:ascii="仿宋" w:hAnsi="仿宋" w:eastAsia="仿宋"/>
          <w:sz w:val="32"/>
          <w:szCs w:val="32"/>
        </w:rPr>
        <w:t>平台进行</w:t>
      </w:r>
      <w:r>
        <w:rPr>
          <w:rFonts w:ascii="仿宋" w:hAnsi="仿宋" w:eastAsia="仿宋"/>
          <w:sz w:val="32"/>
          <w:szCs w:val="32"/>
        </w:rPr>
        <w:t>交易标的过户，</w:t>
      </w:r>
      <w:r>
        <w:rPr>
          <w:rFonts w:hint="eastAsia" w:ascii="仿宋" w:hAnsi="仿宋" w:eastAsia="仿宋"/>
          <w:sz w:val="32"/>
          <w:szCs w:val="32"/>
        </w:rPr>
        <w:t>并</w:t>
      </w:r>
      <w:r>
        <w:rPr>
          <w:rFonts w:ascii="仿宋" w:hAnsi="仿宋" w:eastAsia="仿宋"/>
          <w:sz w:val="32"/>
          <w:szCs w:val="32"/>
        </w:rPr>
        <w:t>将现货清算成员应收资金划转至</w:t>
      </w:r>
      <w:r>
        <w:rPr>
          <w:rFonts w:hint="eastAsia" w:ascii="仿宋" w:hAnsi="仿宋" w:eastAsia="仿宋"/>
          <w:sz w:val="32"/>
          <w:szCs w:val="32"/>
        </w:rPr>
        <w:t>其</w:t>
      </w:r>
      <w:r>
        <w:rPr>
          <w:rFonts w:ascii="仿宋" w:hAnsi="仿宋" w:eastAsia="仿宋"/>
          <w:sz w:val="32"/>
          <w:szCs w:val="32"/>
        </w:rPr>
        <w:t>资金结算账户</w:t>
      </w:r>
      <w:r>
        <w:rPr>
          <w:rFonts w:hint="eastAsia" w:ascii="仿宋" w:hAnsi="仿宋" w:eastAsia="仿宋"/>
          <w:sz w:val="32"/>
          <w:szCs w:val="32"/>
        </w:rPr>
        <w:t>。</w:t>
      </w:r>
    </w:p>
    <w:p>
      <w:pPr>
        <w:pStyle w:val="37"/>
        <w:spacing w:line="580" w:lineRule="exact"/>
        <w:ind w:left="-147" w:firstLine="640"/>
        <w:rPr>
          <w:rFonts w:ascii="仿宋" w:hAnsi="仿宋" w:eastAsia="仿宋"/>
          <w:sz w:val="32"/>
          <w:szCs w:val="32"/>
        </w:rPr>
      </w:pPr>
      <w:r>
        <w:rPr>
          <w:rFonts w:hint="eastAsia" w:ascii="仿宋" w:hAnsi="仿宋" w:eastAsia="仿宋"/>
          <w:sz w:val="32"/>
          <w:szCs w:val="32"/>
        </w:rPr>
        <w:t>现货清算成员应付资金扣收失败的</w:t>
      </w:r>
      <w:r>
        <w:rPr>
          <w:rFonts w:ascii="仿宋" w:hAnsi="仿宋" w:eastAsia="仿宋"/>
          <w:sz w:val="32"/>
          <w:szCs w:val="32"/>
        </w:rPr>
        <w:t>，</w:t>
      </w:r>
      <w:r>
        <w:rPr>
          <w:rFonts w:hint="eastAsia" w:ascii="仿宋" w:hAnsi="仿宋" w:eastAsia="仿宋"/>
          <w:sz w:val="32"/>
          <w:szCs w:val="32"/>
        </w:rPr>
        <w:t>相关</w:t>
      </w:r>
      <w:r>
        <w:rPr>
          <w:rFonts w:ascii="仿宋" w:hAnsi="仿宋" w:eastAsia="仿宋"/>
          <w:sz w:val="32"/>
          <w:szCs w:val="32"/>
        </w:rPr>
        <w:t>交易不再</w:t>
      </w:r>
      <w:r>
        <w:rPr>
          <w:rFonts w:hint="eastAsia" w:ascii="仿宋" w:hAnsi="仿宋" w:eastAsia="仿宋"/>
          <w:sz w:val="32"/>
          <w:szCs w:val="32"/>
        </w:rPr>
        <w:t>被</w:t>
      </w:r>
      <w:r>
        <w:rPr>
          <w:rFonts w:ascii="仿宋" w:hAnsi="仿宋" w:eastAsia="仿宋"/>
          <w:sz w:val="32"/>
          <w:szCs w:val="32"/>
        </w:rPr>
        <w:t>纳入</w:t>
      </w:r>
      <w:r>
        <w:rPr>
          <w:rFonts w:hint="eastAsia" w:ascii="仿宋" w:hAnsi="仿宋" w:eastAsia="仿宋"/>
          <w:sz w:val="32"/>
          <w:szCs w:val="32"/>
        </w:rPr>
        <w:t>当日</w:t>
      </w:r>
      <w:r>
        <w:rPr>
          <w:rFonts w:ascii="仿宋" w:hAnsi="仿宋" w:eastAsia="仿宋"/>
          <w:sz w:val="32"/>
          <w:szCs w:val="32"/>
        </w:rPr>
        <w:t>的</w:t>
      </w:r>
      <w:r>
        <w:rPr>
          <w:rFonts w:hint="eastAsia" w:ascii="仿宋" w:hAnsi="仿宋" w:eastAsia="仿宋"/>
          <w:sz w:val="32"/>
          <w:szCs w:val="32"/>
        </w:rPr>
        <w:t>净额</w:t>
      </w:r>
      <w:r>
        <w:rPr>
          <w:rFonts w:ascii="仿宋" w:hAnsi="仿宋" w:eastAsia="仿宋"/>
          <w:sz w:val="32"/>
          <w:szCs w:val="32"/>
        </w:rPr>
        <w:t>清算，</w:t>
      </w:r>
      <w:r>
        <w:rPr>
          <w:rFonts w:hint="eastAsia" w:ascii="仿宋" w:hAnsi="仿宋" w:eastAsia="仿宋"/>
          <w:sz w:val="32"/>
          <w:szCs w:val="32"/>
        </w:rPr>
        <w:t>而是于</w:t>
      </w:r>
      <w:r>
        <w:rPr>
          <w:rFonts w:ascii="仿宋" w:hAnsi="仿宋" w:eastAsia="仿宋"/>
          <w:sz w:val="32"/>
          <w:szCs w:val="32"/>
        </w:rPr>
        <w:t>次日转为全额清算处理。</w:t>
      </w:r>
      <w:r>
        <w:rPr>
          <w:rFonts w:hint="eastAsia" w:ascii="仿宋" w:hAnsi="仿宋" w:eastAsia="仿宋"/>
          <w:sz w:val="32"/>
          <w:szCs w:val="32"/>
        </w:rPr>
        <w:t>由此造成的</w:t>
      </w:r>
      <w:r>
        <w:rPr>
          <w:rFonts w:ascii="仿宋" w:hAnsi="仿宋" w:eastAsia="仿宋"/>
          <w:sz w:val="32"/>
          <w:szCs w:val="32"/>
        </w:rPr>
        <w:t>损失，</w:t>
      </w:r>
      <w:r>
        <w:rPr>
          <w:rFonts w:hint="eastAsia" w:ascii="仿宋" w:hAnsi="仿宋" w:eastAsia="仿宋"/>
          <w:sz w:val="32"/>
          <w:szCs w:val="32"/>
        </w:rPr>
        <w:t>由</w:t>
      </w:r>
      <w:r>
        <w:rPr>
          <w:rFonts w:ascii="仿宋" w:hAnsi="仿宋" w:eastAsia="仿宋"/>
          <w:sz w:val="32"/>
          <w:szCs w:val="32"/>
        </w:rPr>
        <w:t>交易商根据其与现货清算成员签订的协议追究该现货清算成员责任。</w:t>
      </w:r>
    </w:p>
    <w:p>
      <w:pPr>
        <w:pStyle w:val="37"/>
        <w:numPr>
          <w:ilvl w:val="0"/>
          <w:numId w:val="3"/>
        </w:numPr>
        <w:spacing w:line="580" w:lineRule="exact"/>
        <w:ind w:firstLineChars="0"/>
        <w:rPr>
          <w:rFonts w:ascii="仿宋" w:hAnsi="仿宋" w:eastAsia="仿宋"/>
          <w:sz w:val="32"/>
          <w:szCs w:val="32"/>
        </w:rPr>
      </w:pPr>
      <w:r>
        <w:rPr>
          <w:rFonts w:ascii="仿宋" w:hAnsi="仿宋" w:eastAsia="仿宋"/>
          <w:sz w:val="32"/>
          <w:szCs w:val="32"/>
        </w:rPr>
        <w:t>上海清算所</w:t>
      </w:r>
      <w:r>
        <w:rPr>
          <w:rFonts w:hint="eastAsia" w:ascii="仿宋" w:hAnsi="仿宋" w:eastAsia="仿宋"/>
          <w:sz w:val="32"/>
          <w:szCs w:val="32"/>
        </w:rPr>
        <w:t>完成</w:t>
      </w:r>
      <w:r>
        <w:rPr>
          <w:rFonts w:ascii="仿宋" w:hAnsi="仿宋" w:eastAsia="仿宋"/>
          <w:sz w:val="32"/>
          <w:szCs w:val="32"/>
        </w:rPr>
        <w:t>与现货清算成员资金</w:t>
      </w:r>
      <w:r>
        <w:rPr>
          <w:rFonts w:hint="eastAsia" w:ascii="仿宋" w:hAnsi="仿宋" w:eastAsia="仿宋"/>
          <w:sz w:val="32"/>
          <w:szCs w:val="32"/>
        </w:rPr>
        <w:t>清算</w:t>
      </w:r>
      <w:r>
        <w:rPr>
          <w:rFonts w:ascii="仿宋" w:hAnsi="仿宋" w:eastAsia="仿宋"/>
          <w:sz w:val="32"/>
          <w:szCs w:val="32"/>
        </w:rPr>
        <w:t>结算后，通知现货清算成员完成与交易商资金结算。</w:t>
      </w:r>
      <w:r>
        <w:rPr>
          <w:rFonts w:hint="eastAsia" w:ascii="仿宋" w:hAnsi="仿宋" w:eastAsia="仿宋"/>
          <w:sz w:val="32"/>
          <w:szCs w:val="32"/>
        </w:rPr>
        <w:t>现货清算成</w:t>
      </w:r>
      <w:r>
        <w:rPr>
          <w:rFonts w:hint="eastAsia" w:ascii="仿宋" w:hAnsi="仿宋" w:eastAsia="仿宋" w:cs="Calibri"/>
          <w:sz w:val="32"/>
          <w:szCs w:val="32"/>
        </w:rPr>
        <w:t>员应</w:t>
      </w:r>
      <w:r>
        <w:rPr>
          <w:rFonts w:ascii="仿宋" w:hAnsi="仿宋" w:eastAsia="仿宋" w:cs="Calibri"/>
          <w:sz w:val="32"/>
          <w:szCs w:val="32"/>
        </w:rPr>
        <w:t>严格</w:t>
      </w:r>
      <w:r>
        <w:rPr>
          <w:rFonts w:hint="eastAsia" w:ascii="仿宋" w:hAnsi="仿宋" w:eastAsia="仿宋" w:cs="Calibri"/>
          <w:sz w:val="32"/>
          <w:szCs w:val="32"/>
        </w:rPr>
        <w:t>按照资金结算清单</w:t>
      </w:r>
      <w:r>
        <w:rPr>
          <w:rFonts w:ascii="仿宋" w:hAnsi="仿宋" w:eastAsia="仿宋" w:cs="Calibri"/>
          <w:sz w:val="32"/>
          <w:szCs w:val="32"/>
        </w:rPr>
        <w:t>履行</w:t>
      </w:r>
      <w:r>
        <w:rPr>
          <w:rFonts w:hint="eastAsia" w:ascii="仿宋" w:hAnsi="仿宋" w:eastAsia="仿宋" w:cs="Calibri"/>
          <w:sz w:val="32"/>
          <w:szCs w:val="32"/>
        </w:rPr>
        <w:t>资金结算</w:t>
      </w:r>
      <w:r>
        <w:rPr>
          <w:rFonts w:ascii="仿宋" w:hAnsi="仿宋" w:eastAsia="仿宋" w:cs="Calibri"/>
          <w:sz w:val="32"/>
          <w:szCs w:val="32"/>
        </w:rPr>
        <w:t>义务。</w:t>
      </w:r>
      <w:r>
        <w:rPr>
          <w:rFonts w:hint="eastAsia" w:ascii="仿宋" w:hAnsi="仿宋" w:eastAsia="仿宋"/>
          <w:sz w:val="32"/>
          <w:szCs w:val="32"/>
        </w:rPr>
        <w:t>如有异议，按照资金结算清单与上海清算所完成结算后，就异议内容告知</w:t>
      </w:r>
      <w:r>
        <w:rPr>
          <w:rFonts w:ascii="仿宋" w:hAnsi="仿宋" w:eastAsia="仿宋"/>
          <w:sz w:val="32"/>
          <w:szCs w:val="32"/>
        </w:rPr>
        <w:t>上海清算所</w:t>
      </w:r>
      <w:r>
        <w:rPr>
          <w:rFonts w:hint="eastAsia" w:ascii="仿宋" w:hAnsi="仿宋" w:eastAsia="仿宋"/>
          <w:sz w:val="32"/>
          <w:szCs w:val="32"/>
        </w:rPr>
        <w:t>，双方核实后调整解决。</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对当日</w:t>
      </w:r>
      <w:r>
        <w:rPr>
          <w:rFonts w:ascii="仿宋" w:hAnsi="仿宋" w:eastAsia="仿宋"/>
          <w:sz w:val="32"/>
          <w:szCs w:val="32"/>
        </w:rPr>
        <w:t>已成功完成资金结算的</w:t>
      </w:r>
      <w:r>
        <w:rPr>
          <w:rFonts w:hint="eastAsia" w:ascii="仿宋" w:hAnsi="仿宋" w:eastAsia="仿宋"/>
          <w:sz w:val="32"/>
          <w:szCs w:val="32"/>
        </w:rPr>
        <w:t>交易，</w:t>
      </w:r>
      <w:r>
        <w:rPr>
          <w:rFonts w:ascii="仿宋" w:hAnsi="仿宋" w:eastAsia="仿宋"/>
          <w:sz w:val="32"/>
          <w:szCs w:val="32"/>
        </w:rPr>
        <w:t>现货清算成员</w:t>
      </w:r>
      <w:r>
        <w:rPr>
          <w:rFonts w:hint="eastAsia" w:ascii="仿宋" w:hAnsi="仿宋" w:eastAsia="仿宋"/>
          <w:sz w:val="32"/>
          <w:szCs w:val="32"/>
        </w:rPr>
        <w:t>应解冻买</w:t>
      </w:r>
      <w:r>
        <w:rPr>
          <w:rFonts w:ascii="仿宋" w:hAnsi="仿宋" w:eastAsia="仿宋"/>
          <w:sz w:val="32"/>
          <w:szCs w:val="32"/>
        </w:rPr>
        <w:t>方交收</w:t>
      </w:r>
      <w:r>
        <w:rPr>
          <w:rFonts w:hint="eastAsia" w:ascii="仿宋" w:hAnsi="仿宋" w:eastAsia="仿宋"/>
          <w:sz w:val="32"/>
          <w:szCs w:val="32"/>
        </w:rPr>
        <w:t>定金</w:t>
      </w:r>
      <w:r>
        <w:rPr>
          <w:rFonts w:ascii="仿宋" w:hAnsi="仿宋" w:eastAsia="仿宋"/>
          <w:sz w:val="32"/>
          <w:szCs w:val="32"/>
        </w:rPr>
        <w:t>。</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当日</w:t>
      </w:r>
      <w:r>
        <w:rPr>
          <w:rFonts w:ascii="仿宋" w:hAnsi="仿宋" w:eastAsia="仿宋"/>
          <w:sz w:val="32"/>
          <w:szCs w:val="32"/>
        </w:rPr>
        <w:t>资金清算结算完成后，上海清算所将当日资金清算结算单据发送至现货平台及公示平台。</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现货</w:t>
      </w:r>
      <w:r>
        <w:rPr>
          <w:rFonts w:ascii="仿宋" w:hAnsi="仿宋" w:eastAsia="仿宋"/>
          <w:sz w:val="32"/>
          <w:szCs w:val="32"/>
        </w:rPr>
        <w:t>清算成员可于工作日</w:t>
      </w:r>
      <w:r>
        <w:rPr>
          <w:rFonts w:hint="eastAsia" w:ascii="仿宋" w:hAnsi="仿宋" w:eastAsia="仿宋"/>
          <w:sz w:val="32"/>
          <w:szCs w:val="32"/>
        </w:rPr>
        <w:t>提款</w:t>
      </w:r>
      <w:r>
        <w:rPr>
          <w:rFonts w:ascii="仿宋" w:hAnsi="仿宋" w:eastAsia="仿宋"/>
          <w:sz w:val="32"/>
          <w:szCs w:val="32"/>
        </w:rPr>
        <w:t>时间内</w:t>
      </w:r>
      <w:r>
        <w:rPr>
          <w:rFonts w:hint="eastAsia" w:ascii="仿宋" w:hAnsi="仿宋" w:eastAsia="仿宋"/>
          <w:sz w:val="32"/>
          <w:szCs w:val="32"/>
        </w:rPr>
        <w:t>向</w:t>
      </w:r>
      <w:r>
        <w:rPr>
          <w:rFonts w:ascii="仿宋" w:hAnsi="仿宋" w:eastAsia="仿宋"/>
          <w:sz w:val="32"/>
          <w:szCs w:val="32"/>
        </w:rPr>
        <w:t>上海清算所提交提款指令。</w:t>
      </w:r>
      <w:r>
        <w:rPr>
          <w:rFonts w:hint="eastAsia" w:ascii="仿宋" w:hAnsi="仿宋" w:eastAsia="仿宋"/>
          <w:sz w:val="32"/>
          <w:szCs w:val="32"/>
        </w:rPr>
        <w:t>上海</w:t>
      </w:r>
      <w:r>
        <w:rPr>
          <w:rFonts w:ascii="仿宋" w:hAnsi="仿宋" w:eastAsia="仿宋"/>
          <w:sz w:val="32"/>
          <w:szCs w:val="32"/>
        </w:rPr>
        <w:t>清算所在</w:t>
      </w:r>
      <w:r>
        <w:rPr>
          <w:rFonts w:hint="eastAsia" w:ascii="仿宋" w:hAnsi="仿宋" w:eastAsia="仿宋"/>
          <w:sz w:val="32"/>
          <w:szCs w:val="32"/>
        </w:rPr>
        <w:t>审核</w:t>
      </w:r>
      <w:r>
        <w:rPr>
          <w:rFonts w:ascii="仿宋" w:hAnsi="仿宋" w:eastAsia="仿宋"/>
          <w:sz w:val="32"/>
          <w:szCs w:val="32"/>
        </w:rPr>
        <w:t>确认现货清算成员</w:t>
      </w:r>
      <w:r>
        <w:rPr>
          <w:rFonts w:hint="eastAsia" w:ascii="仿宋" w:hAnsi="仿宋" w:eastAsia="仿宋"/>
          <w:sz w:val="32"/>
          <w:szCs w:val="32"/>
        </w:rPr>
        <w:t>申请</w:t>
      </w:r>
      <w:r>
        <w:rPr>
          <w:rFonts w:ascii="仿宋" w:hAnsi="仿宋" w:eastAsia="仿宋"/>
          <w:sz w:val="32"/>
          <w:szCs w:val="32"/>
        </w:rPr>
        <w:t>提款金额</w:t>
      </w:r>
      <w:r>
        <w:rPr>
          <w:rFonts w:hint="eastAsia" w:ascii="仿宋" w:hAnsi="仿宋" w:eastAsia="仿宋"/>
          <w:sz w:val="32"/>
          <w:szCs w:val="32"/>
        </w:rPr>
        <w:t>不大于</w:t>
      </w:r>
      <w:r>
        <w:rPr>
          <w:rFonts w:ascii="仿宋" w:hAnsi="仿宋" w:eastAsia="仿宋"/>
          <w:sz w:val="32"/>
          <w:szCs w:val="32"/>
        </w:rPr>
        <w:t>其资金结算账户余额后，将资金划入</w:t>
      </w:r>
      <w:r>
        <w:rPr>
          <w:rFonts w:hint="eastAsia" w:ascii="仿宋" w:hAnsi="仿宋" w:eastAsia="仿宋"/>
          <w:sz w:val="32"/>
          <w:szCs w:val="32"/>
        </w:rPr>
        <w:t>其</w:t>
      </w:r>
      <w:r>
        <w:rPr>
          <w:rFonts w:ascii="仿宋" w:hAnsi="仿宋" w:eastAsia="仿宋"/>
          <w:sz w:val="32"/>
          <w:szCs w:val="32"/>
        </w:rPr>
        <w:t>指</w:t>
      </w:r>
      <w:r>
        <w:rPr>
          <w:rFonts w:hint="eastAsia" w:ascii="仿宋" w:hAnsi="仿宋" w:eastAsia="仿宋"/>
          <w:sz w:val="32"/>
          <w:szCs w:val="32"/>
        </w:rPr>
        <w:t>定</w:t>
      </w:r>
      <w:r>
        <w:rPr>
          <w:rFonts w:ascii="仿宋" w:hAnsi="仿宋" w:eastAsia="仿宋"/>
          <w:sz w:val="32"/>
          <w:szCs w:val="32"/>
        </w:rPr>
        <w:t>账户。</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尾款结算指令以及违约赔偿指令处理</w:t>
      </w:r>
      <w:r>
        <w:rPr>
          <w:rFonts w:ascii="仿宋" w:hAnsi="仿宋" w:eastAsia="仿宋"/>
          <w:sz w:val="32"/>
          <w:szCs w:val="32"/>
        </w:rPr>
        <w:t>相关规定同第五章。</w:t>
      </w:r>
    </w:p>
    <w:p>
      <w:pPr>
        <w:pStyle w:val="3"/>
        <w:spacing w:line="580" w:lineRule="exact"/>
      </w:pPr>
      <w:bookmarkStart w:id="37" w:name="_Toc41292908"/>
      <w:bookmarkStart w:id="38" w:name="_Toc134628747"/>
      <w:r>
        <w:rPr>
          <w:rFonts w:hint="eastAsia" w:ascii="黑体" w:hAnsi="黑体" w:eastAsia="黑体"/>
          <w:b w:val="0"/>
          <w:sz w:val="32"/>
        </w:rPr>
        <w:t>附则</w:t>
      </w:r>
      <w:bookmarkEnd w:id="37"/>
      <w:bookmarkEnd w:id="38"/>
      <w:r>
        <w:t xml:space="preserve"> </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本指南仅以中文书写和发布。</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上海清算所为本业务提供有偿服务，收费标准另行公布。</w:t>
      </w:r>
    </w:p>
    <w:p>
      <w:pPr>
        <w:pStyle w:val="37"/>
        <w:numPr>
          <w:ilvl w:val="0"/>
          <w:numId w:val="3"/>
        </w:numPr>
        <w:spacing w:line="580" w:lineRule="exact"/>
        <w:ind w:firstLineChars="0"/>
        <w:rPr>
          <w:rFonts w:hAnsi="仿宋"/>
          <w:sz w:val="32"/>
          <w:szCs w:val="32"/>
        </w:rPr>
      </w:pPr>
      <w:r>
        <w:rPr>
          <w:rFonts w:hint="eastAsia" w:ascii="仿宋" w:hAnsi="仿宋" w:eastAsia="仿宋"/>
          <w:sz w:val="32"/>
          <w:szCs w:val="32"/>
        </w:rPr>
        <w:t>本业务</w:t>
      </w:r>
      <w:r>
        <w:rPr>
          <w:rFonts w:ascii="仿宋" w:hAnsi="仿宋" w:eastAsia="仿宋"/>
          <w:sz w:val="32"/>
          <w:szCs w:val="32"/>
        </w:rPr>
        <w:t>相关</w:t>
      </w:r>
      <w:r>
        <w:rPr>
          <w:rFonts w:hint="eastAsia" w:ascii="仿宋" w:hAnsi="仿宋" w:eastAsia="仿宋"/>
          <w:sz w:val="32"/>
          <w:szCs w:val="32"/>
        </w:rPr>
        <w:t>运营时间另行公布。</w:t>
      </w:r>
    </w:p>
    <w:p>
      <w:pPr>
        <w:pStyle w:val="37"/>
        <w:numPr>
          <w:ilvl w:val="0"/>
          <w:numId w:val="3"/>
        </w:numPr>
        <w:spacing w:line="580" w:lineRule="exact"/>
        <w:ind w:firstLineChars="0"/>
        <w:rPr>
          <w:rFonts w:ascii="仿宋" w:hAnsi="仿宋" w:eastAsia="仿宋"/>
          <w:sz w:val="32"/>
          <w:szCs w:val="32"/>
        </w:rPr>
      </w:pPr>
      <w:r>
        <w:rPr>
          <w:rFonts w:ascii="仿宋" w:hAnsi="仿宋" w:eastAsia="仿宋"/>
          <w:sz w:val="32"/>
          <w:szCs w:val="32"/>
        </w:rPr>
        <w:t>上海清算所</w:t>
      </w:r>
      <w:r>
        <w:rPr>
          <w:rFonts w:hint="eastAsia" w:ascii="仿宋" w:hAnsi="仿宋" w:eastAsia="仿宋"/>
          <w:sz w:val="32"/>
          <w:szCs w:val="32"/>
        </w:rPr>
        <w:t>拥有</w:t>
      </w:r>
      <w:r>
        <w:rPr>
          <w:rFonts w:ascii="仿宋" w:hAnsi="仿宋" w:eastAsia="仿宋"/>
          <w:sz w:val="32"/>
          <w:szCs w:val="32"/>
        </w:rPr>
        <w:t>本指南</w:t>
      </w:r>
      <w:r>
        <w:rPr>
          <w:rFonts w:hint="eastAsia" w:ascii="仿宋" w:hAnsi="仿宋" w:eastAsia="仿宋"/>
          <w:sz w:val="32"/>
          <w:szCs w:val="32"/>
        </w:rPr>
        <w:t>的最终解释权，</w:t>
      </w:r>
      <w:r>
        <w:rPr>
          <w:rFonts w:ascii="仿宋" w:hAnsi="仿宋" w:eastAsia="仿宋"/>
          <w:sz w:val="32"/>
          <w:szCs w:val="32"/>
        </w:rPr>
        <w:t>且</w:t>
      </w:r>
      <w:r>
        <w:rPr>
          <w:rFonts w:hint="eastAsia" w:ascii="仿宋" w:hAnsi="仿宋" w:eastAsia="仿宋"/>
          <w:sz w:val="32"/>
          <w:szCs w:val="32"/>
        </w:rPr>
        <w:t>有权根据业务实际情况对本指南进行调整。</w:t>
      </w:r>
    </w:p>
    <w:p>
      <w:pPr>
        <w:pStyle w:val="37"/>
        <w:numPr>
          <w:ilvl w:val="0"/>
          <w:numId w:val="3"/>
        </w:numPr>
        <w:spacing w:line="580" w:lineRule="exact"/>
        <w:ind w:firstLineChars="0"/>
        <w:rPr>
          <w:rFonts w:ascii="仿宋" w:hAnsi="仿宋" w:eastAsia="仿宋"/>
          <w:sz w:val="32"/>
          <w:szCs w:val="32"/>
        </w:rPr>
      </w:pPr>
      <w:r>
        <w:rPr>
          <w:rFonts w:hint="eastAsia" w:ascii="仿宋" w:hAnsi="仿宋" w:eastAsia="仿宋"/>
          <w:sz w:val="32"/>
          <w:szCs w:val="32"/>
        </w:rPr>
        <w:t>本指南自发布之日起实施。</w:t>
      </w:r>
    </w:p>
    <w:p>
      <w:pPr>
        <w:pStyle w:val="37"/>
        <w:numPr>
          <w:ilvl w:val="0"/>
          <w:numId w:val="0"/>
        </w:numPr>
        <w:spacing w:line="580" w:lineRule="exact"/>
        <w:ind w:left="425" w:leftChars="0"/>
        <w:rPr>
          <w:rFonts w:ascii="仿宋" w:hAnsi="仿宋" w:eastAsia="仿宋"/>
          <w:sz w:val="32"/>
          <w:szCs w:val="32"/>
        </w:rPr>
      </w:pPr>
    </w:p>
    <w:p>
      <w:pPr>
        <w:pStyle w:val="37"/>
        <w:spacing w:line="580" w:lineRule="exact"/>
        <w:ind w:left="-147" w:firstLine="640"/>
        <w:rPr>
          <w:rFonts w:ascii="仿宋" w:hAnsi="仿宋" w:eastAsia="仿宋"/>
          <w:sz w:val="32"/>
          <w:szCs w:val="32"/>
        </w:rPr>
      </w:pPr>
      <w:r>
        <w:rPr>
          <w:rFonts w:hint="eastAsia" w:ascii="仿宋" w:hAnsi="仿宋" w:eastAsia="仿宋"/>
          <w:sz w:val="32"/>
          <w:szCs w:val="32"/>
        </w:rPr>
        <w:t>附：</w:t>
      </w:r>
      <w:r>
        <w:rPr>
          <w:rFonts w:ascii="仿宋" w:hAnsi="仿宋" w:eastAsia="仿宋"/>
          <w:sz w:val="32"/>
          <w:szCs w:val="32"/>
        </w:rPr>
        <w:t>1.大宗商品现货清算业务交易商编码申请表</w:t>
      </w:r>
    </w:p>
    <w:p>
      <w:pPr>
        <w:pStyle w:val="37"/>
        <w:spacing w:line="580" w:lineRule="exact"/>
        <w:ind w:left="1418" w:hanging="285" w:firstLineChars="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大宗商品现货清算业务交易商新增现货清算成员申请表</w:t>
      </w:r>
    </w:p>
    <w:p>
      <w:pPr>
        <w:pStyle w:val="37"/>
        <w:spacing w:line="580" w:lineRule="exact"/>
        <w:ind w:left="-147" w:firstLine="1280" w:firstLineChars="400"/>
        <w:rPr>
          <w:rFonts w:ascii="仿宋" w:hAnsi="仿宋" w:eastAsia="仿宋"/>
          <w:sz w:val="32"/>
          <w:szCs w:val="32"/>
        </w:rPr>
      </w:pPr>
      <w:r>
        <w:rPr>
          <w:rFonts w:ascii="仿宋" w:hAnsi="仿宋" w:eastAsia="仿宋"/>
          <w:sz w:val="32"/>
          <w:szCs w:val="32"/>
        </w:rPr>
        <w:t>3.大宗商品现货清算业务</w:t>
      </w:r>
      <w:r>
        <w:rPr>
          <w:rFonts w:hint="eastAsia" w:ascii="仿宋" w:hAnsi="仿宋" w:eastAsia="仿宋"/>
          <w:sz w:val="32"/>
          <w:szCs w:val="32"/>
        </w:rPr>
        <w:t>机构信息</w:t>
      </w:r>
      <w:r>
        <w:rPr>
          <w:rFonts w:ascii="仿宋" w:hAnsi="仿宋" w:eastAsia="仿宋"/>
          <w:sz w:val="32"/>
          <w:szCs w:val="32"/>
        </w:rPr>
        <w:t>变更报备</w:t>
      </w:r>
      <w:r>
        <w:rPr>
          <w:rFonts w:hint="eastAsia" w:ascii="仿宋" w:hAnsi="仿宋" w:eastAsia="仿宋"/>
          <w:sz w:val="32"/>
          <w:szCs w:val="32"/>
        </w:rPr>
        <w:t>单</w:t>
      </w:r>
    </w:p>
    <w:p>
      <w:pPr>
        <w:pStyle w:val="37"/>
        <w:spacing w:line="580" w:lineRule="exact"/>
        <w:ind w:left="-147" w:firstLine="1280" w:firstLineChars="400"/>
        <w:rPr>
          <w:rFonts w:ascii="仿宋" w:hAnsi="仿宋" w:eastAsia="仿宋"/>
          <w:sz w:val="32"/>
          <w:szCs w:val="32"/>
        </w:rPr>
      </w:pPr>
      <w:r>
        <w:rPr>
          <w:rFonts w:ascii="仿宋" w:hAnsi="仿宋" w:eastAsia="仿宋"/>
          <w:sz w:val="32"/>
          <w:szCs w:val="32"/>
        </w:rPr>
        <w:t>4.大宗</w:t>
      </w:r>
      <w:r>
        <w:rPr>
          <w:rFonts w:hint="eastAsia" w:ascii="仿宋" w:hAnsi="仿宋" w:eastAsia="仿宋"/>
          <w:sz w:val="32"/>
          <w:szCs w:val="32"/>
        </w:rPr>
        <w:t>商品现货清算业务交易商注销申请表</w:t>
      </w:r>
    </w:p>
    <w:p>
      <w:pPr>
        <w:pStyle w:val="37"/>
        <w:spacing w:line="580" w:lineRule="exact"/>
        <w:ind w:left="-147" w:firstLine="1280" w:firstLineChars="4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大宗商品现货清算业务现货平台资格申请书</w:t>
      </w:r>
    </w:p>
    <w:p>
      <w:pPr>
        <w:pStyle w:val="37"/>
        <w:spacing w:line="580" w:lineRule="exact"/>
        <w:ind w:left="-147" w:firstLine="1280" w:firstLineChars="4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大宗商品现货清算业务现货</w:t>
      </w:r>
      <w:r>
        <w:rPr>
          <w:rFonts w:ascii="仿宋" w:hAnsi="仿宋" w:eastAsia="仿宋"/>
          <w:sz w:val="32"/>
          <w:szCs w:val="32"/>
        </w:rPr>
        <w:t>平台</w:t>
      </w:r>
      <w:r>
        <w:rPr>
          <w:rFonts w:hint="eastAsia" w:ascii="仿宋" w:hAnsi="仿宋" w:eastAsia="仿宋"/>
          <w:sz w:val="32"/>
          <w:szCs w:val="32"/>
        </w:rPr>
        <w:t>登记表</w:t>
      </w:r>
    </w:p>
    <w:p>
      <w:pPr>
        <w:pStyle w:val="37"/>
        <w:spacing w:line="580" w:lineRule="exact"/>
        <w:ind w:left="-147" w:firstLine="1280" w:firstLineChars="4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大宗商品现货清算业务印鉴卡</w:t>
      </w:r>
    </w:p>
    <w:p>
      <w:pPr>
        <w:pStyle w:val="37"/>
        <w:spacing w:line="580" w:lineRule="exact"/>
        <w:ind w:left="-147" w:firstLine="1280" w:firstLineChars="4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大宗商品现货清算业务费用缴纳专户申请表</w:t>
      </w:r>
    </w:p>
    <w:p>
      <w:pPr>
        <w:pStyle w:val="37"/>
        <w:spacing w:line="580" w:lineRule="exact"/>
        <w:ind w:left="-147" w:firstLine="1280" w:firstLineChars="4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大宗商品现货清算业务现货清算成员资格申请书</w:t>
      </w:r>
    </w:p>
    <w:p>
      <w:pPr>
        <w:pStyle w:val="37"/>
        <w:spacing w:line="580" w:lineRule="exact"/>
        <w:ind w:left="-147" w:firstLine="1280" w:firstLineChars="400"/>
        <w:rPr>
          <w:rFonts w:ascii="仿宋" w:hAnsi="仿宋" w:eastAsia="仿宋"/>
          <w:sz w:val="32"/>
          <w:szCs w:val="32"/>
        </w:rPr>
      </w:pPr>
      <w:r>
        <w:rPr>
          <w:rFonts w:ascii="仿宋" w:hAnsi="仿宋" w:eastAsia="仿宋"/>
          <w:sz w:val="32"/>
          <w:szCs w:val="32"/>
        </w:rPr>
        <w:t>10.大宗商品现货清算业务现货清算成员登记表</w:t>
      </w:r>
    </w:p>
    <w:p>
      <w:pPr>
        <w:pStyle w:val="37"/>
        <w:spacing w:line="580" w:lineRule="exact"/>
        <w:ind w:left="-147" w:firstLine="1280" w:firstLineChars="400"/>
        <w:rPr>
          <w:rFonts w:ascii="仿宋" w:hAnsi="仿宋" w:eastAsia="仿宋"/>
          <w:sz w:val="32"/>
          <w:szCs w:val="32"/>
        </w:rPr>
      </w:pPr>
      <w:r>
        <w:rPr>
          <w:rFonts w:ascii="仿宋" w:hAnsi="仿宋" w:eastAsia="仿宋"/>
          <w:sz w:val="32"/>
          <w:szCs w:val="32"/>
        </w:rPr>
        <w:t>11.</w:t>
      </w:r>
      <w:r>
        <w:rPr>
          <w:rFonts w:hint="eastAsia" w:ascii="仿宋" w:hAnsi="仿宋" w:eastAsia="仿宋"/>
          <w:sz w:val="32"/>
          <w:szCs w:val="32"/>
        </w:rPr>
        <w:t>大宗商品现货清算业务资金结算账户申请表</w:t>
      </w:r>
    </w:p>
    <w:p>
      <w:pPr>
        <w:pStyle w:val="37"/>
        <w:spacing w:line="580" w:lineRule="exact"/>
        <w:ind w:left="1557" w:leftChars="539" w:hanging="425" w:hangingChars="133"/>
        <w:rPr>
          <w:rFonts w:ascii="仿宋" w:hAnsi="仿宋" w:eastAsia="仿宋"/>
          <w:sz w:val="32"/>
          <w:szCs w:val="32"/>
        </w:rPr>
      </w:pPr>
      <w:r>
        <w:rPr>
          <w:rFonts w:ascii="仿宋" w:hAnsi="仿宋" w:eastAsia="仿宋"/>
          <w:sz w:val="32"/>
          <w:szCs w:val="32"/>
        </w:rPr>
        <w:t>12.大宗商品现货清算业务现货清算成员</w:t>
      </w:r>
      <w:r>
        <w:rPr>
          <w:rFonts w:hint="eastAsia" w:ascii="仿宋" w:hAnsi="仿宋" w:eastAsia="仿宋"/>
          <w:sz w:val="32"/>
          <w:szCs w:val="32"/>
        </w:rPr>
        <w:t>资格</w:t>
      </w:r>
      <w:r>
        <w:rPr>
          <w:rFonts w:ascii="仿宋" w:hAnsi="仿宋" w:eastAsia="仿宋"/>
          <w:sz w:val="32"/>
          <w:szCs w:val="32"/>
        </w:rPr>
        <w:t>终止申请表</w:t>
      </w:r>
    </w:p>
    <w:p>
      <w:pPr>
        <w:widowControl/>
        <w:spacing w:line="580" w:lineRule="exact"/>
        <w:jc w:val="left"/>
        <w:rPr>
          <w:rFonts w:ascii="仿宋" w:hAnsi="仿宋" w:eastAsia="仿宋"/>
          <w:kern w:val="0"/>
          <w:sz w:val="30"/>
          <w:szCs w:val="30"/>
        </w:rPr>
      </w:pPr>
      <w:r>
        <w:rPr>
          <w:rFonts w:ascii="仿宋" w:hAnsi="仿宋" w:eastAsia="仿宋"/>
          <w:sz w:val="32"/>
          <w:szCs w:val="32"/>
        </w:rPr>
        <w:br w:type="page"/>
      </w:r>
      <w:r>
        <w:rPr>
          <w:rFonts w:hint="eastAsia" w:ascii="黑体" w:hAnsi="宋体" w:eastAsia="黑体"/>
          <w:sz w:val="32"/>
          <w:szCs w:val="32"/>
          <w:lang w:bidi="ar"/>
        </w:rPr>
        <w:t>附</w:t>
      </w:r>
      <w:r>
        <w:rPr>
          <w:rFonts w:ascii="黑体" w:hAnsi="宋体" w:eastAsia="黑体"/>
          <w:sz w:val="32"/>
          <w:szCs w:val="32"/>
          <w:lang w:bidi="ar"/>
        </w:rPr>
        <w:t>1</w:t>
      </w:r>
    </w:p>
    <w:p>
      <w:pPr>
        <w:spacing w:line="360" w:lineRule="auto"/>
        <w:jc w:val="center"/>
        <w:rPr>
          <w:rFonts w:ascii="宋体" w:hAnsi="宋体" w:cs="宋体"/>
          <w:b/>
          <w:sz w:val="44"/>
          <w:szCs w:val="44"/>
          <w:lang w:bidi="ar"/>
        </w:rPr>
      </w:pPr>
      <w:r>
        <w:rPr>
          <w:rFonts w:hint="eastAsia" w:ascii="宋体" w:hAnsi="宋体" w:cs="宋体"/>
          <w:b/>
          <w:sz w:val="44"/>
          <w:szCs w:val="44"/>
          <w:lang w:bidi="ar"/>
        </w:rPr>
        <w:t>银行间市场清算所股份有限公司</w:t>
      </w:r>
    </w:p>
    <w:p>
      <w:pPr>
        <w:jc w:val="center"/>
        <w:rPr>
          <w:rFonts w:ascii="宋体" w:hAnsi="宋体" w:cs="宋体"/>
          <w:b/>
          <w:sz w:val="44"/>
          <w:szCs w:val="44"/>
          <w:lang w:bidi="ar"/>
        </w:rPr>
      </w:pPr>
      <w:r>
        <w:rPr>
          <w:rFonts w:hint="eastAsia" w:ascii="宋体" w:hAnsi="宋体" w:cs="宋体"/>
          <w:b/>
          <w:sz w:val="44"/>
          <w:szCs w:val="44"/>
          <w:lang w:bidi="ar"/>
        </w:rPr>
        <w:t>大宗商品现货清算业务交易商编码申请表</w:t>
      </w:r>
    </w:p>
    <w:tbl>
      <w:tblPr>
        <w:tblStyle w:val="21"/>
        <w:tblW w:w="9209" w:type="dxa"/>
        <w:jc w:val="center"/>
        <w:tblInd w:w="0" w:type="dxa"/>
        <w:tblLayout w:type="fixed"/>
        <w:tblCellMar>
          <w:top w:w="0" w:type="dxa"/>
          <w:left w:w="0" w:type="dxa"/>
          <w:bottom w:w="0" w:type="dxa"/>
          <w:right w:w="0" w:type="dxa"/>
        </w:tblCellMar>
      </w:tblPr>
      <w:tblGrid>
        <w:gridCol w:w="1980"/>
        <w:gridCol w:w="992"/>
        <w:gridCol w:w="1418"/>
        <w:gridCol w:w="708"/>
        <w:gridCol w:w="851"/>
        <w:gridCol w:w="1559"/>
        <w:gridCol w:w="1701"/>
      </w:tblGrid>
      <w:tr>
        <w:tblPrEx>
          <w:tblLayout w:type="fixed"/>
          <w:tblCellMar>
            <w:top w:w="0" w:type="dxa"/>
            <w:left w:w="0" w:type="dxa"/>
            <w:bottom w:w="0" w:type="dxa"/>
            <w:right w:w="0" w:type="dxa"/>
          </w:tblCellMar>
        </w:tblPrEx>
        <w:trPr>
          <w:trHeight w:val="270" w:hRule="atLeast"/>
          <w:jc w:val="center"/>
        </w:trPr>
        <w:tc>
          <w:tcPr>
            <w:tcW w:w="9209"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b/>
                <w:bCs/>
              </w:rPr>
            </w:pPr>
            <w:r>
              <w:rPr>
                <w:rFonts w:hint="eastAsia" w:ascii="仿宋" w:hAnsi="仿宋" w:eastAsia="仿宋"/>
                <w:b/>
                <w:bCs/>
              </w:rPr>
              <w:t>交易商基本信息</w:t>
            </w:r>
          </w:p>
        </w:tc>
      </w:tr>
      <w:tr>
        <w:tblPrEx>
          <w:tblLayout w:type="fixed"/>
          <w:tblCellMar>
            <w:top w:w="0" w:type="dxa"/>
            <w:left w:w="0" w:type="dxa"/>
            <w:bottom w:w="0" w:type="dxa"/>
            <w:right w:w="0" w:type="dxa"/>
          </w:tblCellMar>
        </w:tblPrEx>
        <w:trPr>
          <w:trHeight w:val="270" w:hRule="atLeast"/>
          <w:jc w:val="center"/>
        </w:trPr>
        <w:tc>
          <w:tcPr>
            <w:tcW w:w="19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中文全称</w:t>
            </w:r>
          </w:p>
        </w:tc>
        <w:tc>
          <w:tcPr>
            <w:tcW w:w="3118"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2410"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中文简称</w:t>
            </w:r>
          </w:p>
        </w:tc>
        <w:tc>
          <w:tcPr>
            <w:tcW w:w="170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r>
      <w:tr>
        <w:tblPrEx>
          <w:tblLayout w:type="fixed"/>
          <w:tblCellMar>
            <w:top w:w="0" w:type="dxa"/>
            <w:left w:w="0" w:type="dxa"/>
            <w:bottom w:w="0" w:type="dxa"/>
            <w:right w:w="0" w:type="dxa"/>
          </w:tblCellMar>
        </w:tblPrEx>
        <w:trPr>
          <w:trHeight w:val="270" w:hRule="atLeast"/>
          <w:jc w:val="center"/>
        </w:trPr>
        <w:tc>
          <w:tcPr>
            <w:tcW w:w="19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英文全称</w:t>
            </w:r>
          </w:p>
        </w:tc>
        <w:tc>
          <w:tcPr>
            <w:tcW w:w="3118"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2410"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英文简称</w:t>
            </w:r>
          </w:p>
        </w:tc>
        <w:tc>
          <w:tcPr>
            <w:tcW w:w="170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r>
      <w:tr>
        <w:tblPrEx>
          <w:tblLayout w:type="fixed"/>
          <w:tblCellMar>
            <w:top w:w="0" w:type="dxa"/>
            <w:left w:w="0" w:type="dxa"/>
            <w:bottom w:w="0" w:type="dxa"/>
            <w:right w:w="0" w:type="dxa"/>
          </w:tblCellMar>
        </w:tblPrEx>
        <w:trPr>
          <w:trHeight w:val="272" w:hRule="atLeast"/>
          <w:jc w:val="center"/>
        </w:trPr>
        <w:tc>
          <w:tcPr>
            <w:tcW w:w="19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注册成立文件编号</w:t>
            </w:r>
            <w:r>
              <w:rPr>
                <w:rFonts w:ascii="仿宋" w:hAnsi="仿宋" w:eastAsia="仿宋"/>
                <w:vertAlign w:val="superscript"/>
              </w:rPr>
              <w:t>1</w:t>
            </w:r>
          </w:p>
        </w:tc>
        <w:tc>
          <w:tcPr>
            <w:tcW w:w="3118"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2410"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注册资本</w:t>
            </w:r>
          </w:p>
        </w:tc>
        <w:tc>
          <w:tcPr>
            <w:tcW w:w="170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r>
      <w:tr>
        <w:tblPrEx>
          <w:tblLayout w:type="fixed"/>
          <w:tblCellMar>
            <w:top w:w="0" w:type="dxa"/>
            <w:left w:w="0" w:type="dxa"/>
            <w:bottom w:w="0" w:type="dxa"/>
            <w:right w:w="0" w:type="dxa"/>
          </w:tblCellMar>
        </w:tblPrEx>
        <w:trPr>
          <w:trHeight w:val="272" w:hRule="atLeast"/>
          <w:jc w:val="center"/>
        </w:trPr>
        <w:tc>
          <w:tcPr>
            <w:tcW w:w="19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注册地址</w:t>
            </w:r>
          </w:p>
        </w:tc>
        <w:tc>
          <w:tcPr>
            <w:tcW w:w="7229" w:type="dxa"/>
            <w:gridSpan w:val="6"/>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r>
      <w:tr>
        <w:tblPrEx>
          <w:tblLayout w:type="fixed"/>
          <w:tblCellMar>
            <w:top w:w="0" w:type="dxa"/>
            <w:left w:w="0" w:type="dxa"/>
            <w:bottom w:w="0" w:type="dxa"/>
            <w:right w:w="0" w:type="dxa"/>
          </w:tblCellMar>
        </w:tblPrEx>
        <w:trPr>
          <w:trHeight w:val="272" w:hRule="atLeast"/>
          <w:jc w:val="center"/>
        </w:trPr>
        <w:tc>
          <w:tcPr>
            <w:tcW w:w="19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通讯地址</w:t>
            </w:r>
          </w:p>
        </w:tc>
        <w:tc>
          <w:tcPr>
            <w:tcW w:w="3118"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2410"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邮政编码</w:t>
            </w:r>
          </w:p>
        </w:tc>
        <w:tc>
          <w:tcPr>
            <w:tcW w:w="170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r>
      <w:tr>
        <w:tblPrEx>
          <w:tblLayout w:type="fixed"/>
          <w:tblCellMar>
            <w:top w:w="0" w:type="dxa"/>
            <w:left w:w="0" w:type="dxa"/>
            <w:bottom w:w="0" w:type="dxa"/>
            <w:right w:w="0" w:type="dxa"/>
          </w:tblCellMar>
        </w:tblPrEx>
        <w:trPr>
          <w:trHeight w:val="272" w:hRule="atLeast"/>
          <w:jc w:val="center"/>
        </w:trPr>
        <w:tc>
          <w:tcPr>
            <w:tcW w:w="19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联系电话</w:t>
            </w:r>
          </w:p>
        </w:tc>
        <w:tc>
          <w:tcPr>
            <w:tcW w:w="3118"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2410"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传真</w:t>
            </w:r>
          </w:p>
        </w:tc>
        <w:tc>
          <w:tcPr>
            <w:tcW w:w="170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r>
      <w:tr>
        <w:tblPrEx>
          <w:tblLayout w:type="fixed"/>
          <w:tblCellMar>
            <w:top w:w="0" w:type="dxa"/>
            <w:left w:w="0" w:type="dxa"/>
            <w:bottom w:w="0" w:type="dxa"/>
            <w:right w:w="0" w:type="dxa"/>
          </w:tblCellMar>
        </w:tblPrEx>
        <w:trPr>
          <w:trHeight w:val="272" w:hRule="atLeast"/>
          <w:jc w:val="center"/>
        </w:trPr>
        <w:tc>
          <w:tcPr>
            <w:tcW w:w="19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申请机构类型</w:t>
            </w:r>
          </w:p>
        </w:tc>
        <w:tc>
          <w:tcPr>
            <w:tcW w:w="3118"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2410"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现货平台给予的标识码</w:t>
            </w:r>
          </w:p>
        </w:tc>
        <w:tc>
          <w:tcPr>
            <w:tcW w:w="170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r>
      <w:tr>
        <w:tblPrEx>
          <w:tblLayout w:type="fixed"/>
          <w:tblCellMar>
            <w:top w:w="0" w:type="dxa"/>
            <w:left w:w="0" w:type="dxa"/>
            <w:bottom w:w="0" w:type="dxa"/>
            <w:right w:w="0" w:type="dxa"/>
          </w:tblCellMar>
        </w:tblPrEx>
        <w:trPr>
          <w:trHeight w:val="272" w:hRule="atLeast"/>
          <w:jc w:val="center"/>
        </w:trPr>
        <w:tc>
          <w:tcPr>
            <w:tcW w:w="1980" w:type="dxa"/>
            <w:tcBorders>
              <w:top w:val="nil"/>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□法定代表人</w:t>
            </w:r>
          </w:p>
        </w:tc>
        <w:tc>
          <w:tcPr>
            <w:tcW w:w="992"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姓名</w:t>
            </w:r>
          </w:p>
        </w:tc>
        <w:tc>
          <w:tcPr>
            <w:tcW w:w="6237"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r>
      <w:tr>
        <w:tblPrEx>
          <w:tblLayout w:type="fixed"/>
          <w:tblCellMar>
            <w:top w:w="0" w:type="dxa"/>
            <w:left w:w="0" w:type="dxa"/>
            <w:bottom w:w="0" w:type="dxa"/>
            <w:right w:w="0" w:type="dxa"/>
          </w:tblCellMar>
        </w:tblPrEx>
        <w:trPr>
          <w:trHeight w:val="272" w:hRule="atLeast"/>
          <w:jc w:val="center"/>
        </w:trPr>
        <w:tc>
          <w:tcPr>
            <w:tcW w:w="19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□机构负责人</w:t>
            </w:r>
          </w:p>
        </w:tc>
        <w:tc>
          <w:tcPr>
            <w:tcW w:w="99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证件种类</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1559"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证件号码</w:t>
            </w:r>
          </w:p>
        </w:tc>
        <w:tc>
          <w:tcPr>
            <w:tcW w:w="3260"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r>
      <w:tr>
        <w:tblPrEx>
          <w:tblLayout w:type="fixed"/>
          <w:tblCellMar>
            <w:top w:w="0" w:type="dxa"/>
            <w:left w:w="0" w:type="dxa"/>
            <w:bottom w:w="0" w:type="dxa"/>
            <w:right w:w="0" w:type="dxa"/>
          </w:tblCellMar>
        </w:tblPrEx>
        <w:trPr>
          <w:trHeight w:val="270" w:hRule="atLeast"/>
          <w:jc w:val="center"/>
        </w:trPr>
        <w:tc>
          <w:tcPr>
            <w:tcW w:w="9209"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b/>
                <w:bCs/>
              </w:rPr>
            </w:pPr>
            <w:r>
              <w:rPr>
                <w:rFonts w:hint="eastAsia" w:ascii="仿宋" w:hAnsi="仿宋" w:eastAsia="仿宋"/>
                <w:b/>
                <w:bCs/>
              </w:rPr>
              <w:t>资金结算账户基本信息</w:t>
            </w:r>
            <w:r>
              <w:rPr>
                <w:rFonts w:hint="eastAsia" w:ascii="仿宋" w:hAnsi="仿宋" w:eastAsia="仿宋"/>
                <w:b/>
                <w:bCs/>
                <w:vertAlign w:val="superscript"/>
              </w:rPr>
              <w:t>2</w:t>
            </w:r>
          </w:p>
        </w:tc>
      </w:tr>
      <w:tr>
        <w:tblPrEx>
          <w:tblLayout w:type="fixed"/>
          <w:tblCellMar>
            <w:top w:w="0" w:type="dxa"/>
            <w:left w:w="0" w:type="dxa"/>
            <w:bottom w:w="0" w:type="dxa"/>
            <w:right w:w="0" w:type="dxa"/>
          </w:tblCellMar>
        </w:tblPrEx>
        <w:trPr>
          <w:trHeight w:val="172" w:hRule="atLeast"/>
          <w:jc w:val="center"/>
        </w:trPr>
        <w:tc>
          <w:tcPr>
            <w:tcW w:w="19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1.现货清算成员名称</w:t>
            </w:r>
          </w:p>
        </w:tc>
        <w:tc>
          <w:tcPr>
            <w:tcW w:w="5528"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1701"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协议签署状态</w:t>
            </w:r>
          </w:p>
          <w:p>
            <w:pPr>
              <w:jc w:val="center"/>
              <w:rPr>
                <w:rFonts w:ascii="仿宋" w:hAnsi="仿宋" w:eastAsia="仿宋"/>
              </w:rPr>
            </w:pPr>
            <w:r>
              <w:rPr>
                <w:rFonts w:hint="eastAsia" w:ascii="仿宋" w:hAnsi="仿宋" w:eastAsia="仿宋"/>
              </w:rPr>
              <w:t>□</w:t>
            </w:r>
          </w:p>
        </w:tc>
      </w:tr>
      <w:tr>
        <w:tblPrEx>
          <w:tblLayout w:type="fixed"/>
          <w:tblCellMar>
            <w:top w:w="0" w:type="dxa"/>
            <w:left w:w="0" w:type="dxa"/>
            <w:bottom w:w="0" w:type="dxa"/>
            <w:right w:w="0" w:type="dxa"/>
          </w:tblCellMar>
        </w:tblPrEx>
        <w:trPr>
          <w:trHeight w:val="272" w:hRule="atLeast"/>
          <w:jc w:val="center"/>
        </w:trPr>
        <w:tc>
          <w:tcPr>
            <w:tcW w:w="19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账号</w:t>
            </w:r>
            <w:r>
              <w:rPr>
                <w:rFonts w:ascii="仿宋" w:hAnsi="仿宋" w:eastAsia="仿宋"/>
                <w:b/>
                <w:bCs/>
                <w:vertAlign w:val="superscript"/>
              </w:rPr>
              <w:t>3</w:t>
            </w:r>
          </w:p>
        </w:tc>
        <w:tc>
          <w:tcPr>
            <w:tcW w:w="2410"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币种</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1701"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rPr>
            </w:pPr>
          </w:p>
        </w:tc>
      </w:tr>
      <w:tr>
        <w:tblPrEx>
          <w:tblLayout w:type="fixed"/>
          <w:tblCellMar>
            <w:top w:w="0" w:type="dxa"/>
            <w:left w:w="0" w:type="dxa"/>
            <w:bottom w:w="0" w:type="dxa"/>
            <w:right w:w="0" w:type="dxa"/>
          </w:tblCellMar>
        </w:tblPrEx>
        <w:trPr>
          <w:trHeight w:val="272" w:hRule="atLeast"/>
          <w:jc w:val="center"/>
        </w:trPr>
        <w:tc>
          <w:tcPr>
            <w:tcW w:w="19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2.现货清算成员名称</w:t>
            </w:r>
          </w:p>
        </w:tc>
        <w:tc>
          <w:tcPr>
            <w:tcW w:w="5528"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1701"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协议签署状态</w:t>
            </w:r>
          </w:p>
          <w:p>
            <w:pPr>
              <w:jc w:val="center"/>
              <w:rPr>
                <w:rFonts w:ascii="仿宋" w:hAnsi="仿宋" w:eastAsia="仿宋"/>
              </w:rPr>
            </w:pPr>
            <w:r>
              <w:rPr>
                <w:rFonts w:hint="eastAsia" w:ascii="仿宋" w:hAnsi="仿宋" w:eastAsia="仿宋"/>
              </w:rPr>
              <w:t>□</w:t>
            </w:r>
          </w:p>
        </w:tc>
      </w:tr>
      <w:tr>
        <w:tblPrEx>
          <w:tblLayout w:type="fixed"/>
          <w:tblCellMar>
            <w:top w:w="0" w:type="dxa"/>
            <w:left w:w="0" w:type="dxa"/>
            <w:bottom w:w="0" w:type="dxa"/>
            <w:right w:w="0" w:type="dxa"/>
          </w:tblCellMar>
        </w:tblPrEx>
        <w:trPr>
          <w:trHeight w:val="272" w:hRule="atLeast"/>
          <w:jc w:val="center"/>
        </w:trPr>
        <w:tc>
          <w:tcPr>
            <w:tcW w:w="19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账号</w:t>
            </w:r>
          </w:p>
        </w:tc>
        <w:tc>
          <w:tcPr>
            <w:tcW w:w="2410"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币种</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1701"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rPr>
            </w:pPr>
          </w:p>
        </w:tc>
      </w:tr>
      <w:tr>
        <w:tblPrEx>
          <w:tblLayout w:type="fixed"/>
          <w:tblCellMar>
            <w:top w:w="0" w:type="dxa"/>
            <w:left w:w="0" w:type="dxa"/>
            <w:bottom w:w="0" w:type="dxa"/>
            <w:right w:w="0" w:type="dxa"/>
          </w:tblCellMar>
        </w:tblPrEx>
        <w:trPr>
          <w:trHeight w:val="272" w:hRule="atLeast"/>
          <w:jc w:val="center"/>
        </w:trPr>
        <w:tc>
          <w:tcPr>
            <w:tcW w:w="19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3.现货清算成员名称</w:t>
            </w:r>
          </w:p>
        </w:tc>
        <w:tc>
          <w:tcPr>
            <w:tcW w:w="5528"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1701"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协议签署状态</w:t>
            </w:r>
          </w:p>
          <w:p>
            <w:pPr>
              <w:jc w:val="center"/>
              <w:rPr>
                <w:rFonts w:ascii="仿宋" w:hAnsi="仿宋" w:eastAsia="仿宋"/>
              </w:rPr>
            </w:pPr>
            <w:r>
              <w:rPr>
                <w:rFonts w:hint="eastAsia" w:ascii="仿宋" w:hAnsi="仿宋" w:eastAsia="仿宋"/>
              </w:rPr>
              <w:t>□</w:t>
            </w:r>
          </w:p>
        </w:tc>
      </w:tr>
      <w:tr>
        <w:tblPrEx>
          <w:tblLayout w:type="fixed"/>
          <w:tblCellMar>
            <w:top w:w="0" w:type="dxa"/>
            <w:left w:w="0" w:type="dxa"/>
            <w:bottom w:w="0" w:type="dxa"/>
            <w:right w:w="0" w:type="dxa"/>
          </w:tblCellMar>
        </w:tblPrEx>
        <w:trPr>
          <w:trHeight w:val="272" w:hRule="atLeast"/>
          <w:jc w:val="center"/>
        </w:trPr>
        <w:tc>
          <w:tcPr>
            <w:tcW w:w="19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账号</w:t>
            </w:r>
          </w:p>
        </w:tc>
        <w:tc>
          <w:tcPr>
            <w:tcW w:w="2410"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币种</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1701"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rPr>
            </w:pPr>
          </w:p>
        </w:tc>
      </w:tr>
      <w:tr>
        <w:tblPrEx>
          <w:tblLayout w:type="fixed"/>
          <w:tblCellMar>
            <w:top w:w="0" w:type="dxa"/>
            <w:left w:w="0" w:type="dxa"/>
            <w:bottom w:w="0" w:type="dxa"/>
            <w:right w:w="0" w:type="dxa"/>
          </w:tblCellMar>
        </w:tblPrEx>
        <w:trPr>
          <w:trHeight w:val="270" w:hRule="atLeast"/>
          <w:jc w:val="center"/>
        </w:trPr>
        <w:tc>
          <w:tcPr>
            <w:tcW w:w="9209"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b/>
                <w:bCs/>
              </w:rPr>
            </w:pPr>
            <w:r>
              <w:rPr>
                <w:rFonts w:hint="eastAsia" w:ascii="仿宋" w:hAnsi="仿宋" w:eastAsia="仿宋"/>
                <w:b/>
                <w:bCs/>
              </w:rPr>
              <w:t>现货平台基本信息</w:t>
            </w:r>
          </w:p>
        </w:tc>
      </w:tr>
      <w:tr>
        <w:tblPrEx>
          <w:tblLayout w:type="fixed"/>
          <w:tblCellMar>
            <w:top w:w="0" w:type="dxa"/>
            <w:left w:w="0" w:type="dxa"/>
            <w:bottom w:w="0" w:type="dxa"/>
            <w:right w:w="0" w:type="dxa"/>
          </w:tblCellMar>
        </w:tblPrEx>
        <w:trPr>
          <w:trHeight w:val="272" w:hRule="atLeast"/>
          <w:jc w:val="center"/>
        </w:trPr>
        <w:tc>
          <w:tcPr>
            <w:tcW w:w="19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现货平台名称</w:t>
            </w:r>
          </w:p>
        </w:tc>
        <w:tc>
          <w:tcPr>
            <w:tcW w:w="2410"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1559"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现货平台编码</w:t>
            </w:r>
          </w:p>
        </w:tc>
        <w:tc>
          <w:tcPr>
            <w:tcW w:w="3260"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r>
      <w:tr>
        <w:tblPrEx>
          <w:tblLayout w:type="fixed"/>
          <w:tblCellMar>
            <w:top w:w="0" w:type="dxa"/>
            <w:left w:w="0" w:type="dxa"/>
            <w:bottom w:w="0" w:type="dxa"/>
            <w:right w:w="0" w:type="dxa"/>
          </w:tblCellMar>
        </w:tblPrEx>
        <w:trPr>
          <w:trHeight w:val="272" w:hRule="atLeast"/>
          <w:jc w:val="center"/>
        </w:trPr>
        <w:tc>
          <w:tcPr>
            <w:tcW w:w="19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联系人</w:t>
            </w:r>
          </w:p>
        </w:tc>
        <w:tc>
          <w:tcPr>
            <w:tcW w:w="2410"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1559"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联系电话</w:t>
            </w:r>
          </w:p>
        </w:tc>
        <w:tc>
          <w:tcPr>
            <w:tcW w:w="3260"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r>
      <w:tr>
        <w:tblPrEx>
          <w:tblLayout w:type="fixed"/>
          <w:tblCellMar>
            <w:top w:w="0" w:type="dxa"/>
            <w:left w:w="0" w:type="dxa"/>
            <w:bottom w:w="0" w:type="dxa"/>
            <w:right w:w="0" w:type="dxa"/>
          </w:tblCellMar>
        </w:tblPrEx>
        <w:trPr>
          <w:trHeight w:val="1818" w:hRule="atLeast"/>
          <w:jc w:val="center"/>
        </w:trPr>
        <w:tc>
          <w:tcPr>
            <w:tcW w:w="9209"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contextualSpacing/>
              <w:rPr>
                <w:rFonts w:ascii="仿宋" w:hAnsi="仿宋" w:eastAsia="仿宋"/>
              </w:rPr>
            </w:pPr>
          </w:p>
          <w:p>
            <w:pPr>
              <w:spacing w:line="240" w:lineRule="exact"/>
              <w:contextualSpacing/>
              <w:rPr>
                <w:rFonts w:ascii="仿宋" w:hAnsi="仿宋" w:eastAsia="仿宋"/>
              </w:rPr>
            </w:pPr>
          </w:p>
          <w:p>
            <w:pPr>
              <w:spacing w:line="240" w:lineRule="exact"/>
              <w:contextualSpacing/>
              <w:rPr>
                <w:rFonts w:ascii="仿宋" w:hAnsi="仿宋" w:eastAsia="仿宋"/>
              </w:rPr>
            </w:pPr>
            <w:r>
              <w:rPr>
                <w:rFonts w:hint="eastAsia" w:ascii="仿宋" w:hAnsi="仿宋" w:eastAsia="仿宋"/>
              </w:rPr>
              <w:t>交易商公章：</w:t>
            </w:r>
            <w:r>
              <w:rPr>
                <w:rFonts w:ascii="仿宋" w:hAnsi="仿宋" w:eastAsia="仿宋"/>
              </w:rPr>
              <w:t xml:space="preserve">    </w:t>
            </w:r>
          </w:p>
          <w:p>
            <w:pPr>
              <w:spacing w:line="240" w:lineRule="exact"/>
              <w:ind w:firstLine="2520" w:firstLineChars="1200"/>
              <w:contextualSpacing/>
              <w:rPr>
                <w:rFonts w:ascii="仿宋" w:hAnsi="仿宋" w:eastAsia="仿宋"/>
              </w:rPr>
            </w:pPr>
          </w:p>
          <w:p>
            <w:pPr>
              <w:spacing w:line="240" w:lineRule="exact"/>
              <w:contextualSpacing/>
              <w:rPr>
                <w:rFonts w:ascii="仿宋" w:hAnsi="仿宋" w:eastAsia="仿宋"/>
              </w:rPr>
            </w:pPr>
            <w:r>
              <w:rPr>
                <w:rFonts w:hint="eastAsia" w:ascii="仿宋" w:hAnsi="仿宋" w:eastAsia="仿宋"/>
              </w:rPr>
              <w:t>交易商法定代表人或授权代表签章：</w:t>
            </w:r>
            <w:r>
              <w:rPr>
                <w:rFonts w:ascii="仿宋" w:hAnsi="仿宋" w:eastAsia="仿宋"/>
              </w:rPr>
              <w:t xml:space="preserve">            </w:t>
            </w:r>
            <w:r>
              <w:rPr>
                <w:rFonts w:hint="eastAsia" w:ascii="仿宋" w:hAnsi="仿宋" w:eastAsia="仿宋"/>
              </w:rPr>
              <w:t>现货平台公章（或预留印鉴章）：</w:t>
            </w:r>
          </w:p>
          <w:p>
            <w:pPr>
              <w:ind w:left="1470" w:hanging="1470" w:hangingChars="700"/>
              <w:jc w:val="left"/>
              <w:rPr>
                <w:rFonts w:ascii="仿宋" w:hAnsi="仿宋" w:eastAsia="仿宋"/>
              </w:rPr>
            </w:pPr>
            <w:r>
              <w:rPr>
                <w:rFonts w:ascii="仿宋" w:hAnsi="仿宋" w:eastAsia="仿宋"/>
              </w:rPr>
              <w:t xml:space="preserve">                                                                                                                 年     月     日</w:t>
            </w:r>
            <w:r>
              <w:rPr>
                <w:rFonts w:hint="eastAsia" w:ascii="仿宋" w:hAnsi="仿宋" w:eastAsia="仿宋"/>
              </w:rPr>
              <w:t>　</w:t>
            </w:r>
          </w:p>
        </w:tc>
      </w:tr>
      <w:tr>
        <w:tblPrEx>
          <w:tblLayout w:type="fixed"/>
          <w:tblCellMar>
            <w:top w:w="0" w:type="dxa"/>
            <w:left w:w="0" w:type="dxa"/>
            <w:bottom w:w="0" w:type="dxa"/>
            <w:right w:w="0" w:type="dxa"/>
          </w:tblCellMar>
        </w:tblPrEx>
        <w:trPr>
          <w:trHeight w:val="55" w:hRule="atLeast"/>
          <w:jc w:val="center"/>
        </w:trPr>
        <w:tc>
          <w:tcPr>
            <w:tcW w:w="9209"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仿宋" w:hAnsi="仿宋" w:eastAsia="仿宋"/>
              </w:rPr>
            </w:pPr>
            <w:r>
              <w:rPr>
                <w:rFonts w:ascii="仿宋" w:hAnsi="仿宋" w:eastAsia="仿宋"/>
              </w:rPr>
              <w:t>1.</w:t>
            </w:r>
            <w:r>
              <w:rPr>
                <w:rFonts w:hint="eastAsia" w:ascii="仿宋" w:hAnsi="仿宋" w:eastAsia="仿宋"/>
              </w:rPr>
              <w:t>若为境内机构，填写统一社会信用代码；若为境外机构（含港、澳、台地区），填写经有权机关核发的注册成立文件编号。</w:t>
            </w:r>
          </w:p>
          <w:p>
            <w:pPr>
              <w:jc w:val="left"/>
              <w:rPr>
                <w:rFonts w:ascii="仿宋" w:hAnsi="仿宋" w:eastAsia="仿宋"/>
              </w:rPr>
            </w:pPr>
            <w:r>
              <w:rPr>
                <w:rFonts w:ascii="仿宋" w:hAnsi="仿宋" w:eastAsia="仿宋"/>
              </w:rPr>
              <w:t>2.</w:t>
            </w:r>
            <w:r>
              <w:rPr>
                <w:rFonts w:hint="eastAsia" w:ascii="仿宋" w:hAnsi="仿宋" w:eastAsia="仿宋"/>
              </w:rPr>
              <w:t>资金结算账户基本信息中的协议签署状态由上海清算所填写。</w:t>
            </w:r>
          </w:p>
          <w:p>
            <w:pPr>
              <w:jc w:val="left"/>
              <w:rPr>
                <w:rFonts w:ascii="仿宋" w:hAnsi="仿宋" w:eastAsia="仿宋"/>
              </w:rPr>
            </w:pPr>
            <w:r>
              <w:rPr>
                <w:rFonts w:hint="eastAsia" w:ascii="仿宋" w:hAnsi="仿宋" w:eastAsia="仿宋"/>
              </w:rPr>
              <w:t>3.参与数字人民币清算结算服务的交易商，应在账号处填写数字人民币对公钱包账号信息，币种处填写“数字人民币”。</w:t>
            </w:r>
          </w:p>
        </w:tc>
      </w:tr>
    </w:tbl>
    <w:p>
      <w:pPr>
        <w:rPr>
          <w:rFonts w:ascii="仿宋" w:hAnsi="仿宋" w:eastAsia="仿宋"/>
        </w:rPr>
      </w:pPr>
      <w:r>
        <w:rPr>
          <w:rFonts w:ascii="仿宋" w:hAnsi="仿宋" w:eastAsia="仿宋"/>
        </w:rPr>
        <w:t xml:space="preserve"> </w:t>
      </w:r>
      <w:r>
        <mc:AlternateContent>
          <mc:Choice Requires="wps">
            <w:drawing>
              <wp:anchor distT="0" distB="0" distL="114300" distR="114300" simplePos="0" relativeHeight="251669504" behindDoc="0" locked="0" layoutInCell="1" allowOverlap="1">
                <wp:simplePos x="0" y="0"/>
                <wp:positionH relativeFrom="column">
                  <wp:posOffset>-504825</wp:posOffset>
                </wp:positionH>
                <wp:positionV relativeFrom="paragraph">
                  <wp:posOffset>123190</wp:posOffset>
                </wp:positionV>
                <wp:extent cx="6120130" cy="9525"/>
                <wp:effectExtent l="0" t="0" r="0" b="9525"/>
                <wp:wrapNone/>
                <wp:docPr id="4" name="AutoShape 2"/>
                <wp:cNvGraphicFramePr/>
                <a:graphic xmlns:a="http://schemas.openxmlformats.org/drawingml/2006/main">
                  <a:graphicData uri="http://schemas.microsoft.com/office/word/2010/wordprocessingShape">
                    <wps:wsp>
                      <wps:cNvCnPr>
                        <a:cxnSpLocks noChangeShapeType="1"/>
                      </wps:cNvCnPr>
                      <wps:spPr bwMode="auto">
                        <a:xfrm>
                          <a:off x="0" y="0"/>
                          <a:ext cx="6120130" cy="9525"/>
                        </a:xfrm>
                        <a:prstGeom prst="straightConnector1">
                          <a:avLst/>
                        </a:prstGeom>
                        <a:noFill/>
                        <a:ln w="9525">
                          <a:solidFill>
                            <a:srgbClr val="000000"/>
                          </a:solidFill>
                          <a:prstDash val="dash"/>
                          <a:round/>
                        </a:ln>
                      </wps:spPr>
                      <wps:bodyPr/>
                    </wps:wsp>
                  </a:graphicData>
                </a:graphic>
              </wp:anchor>
            </w:drawing>
          </mc:Choice>
          <mc:Fallback>
            <w:pict>
              <v:shape id="AutoShape 2" o:spid="_x0000_s1026" o:spt="32" type="#_x0000_t32" style="position:absolute;left:0pt;margin-left:-39.75pt;margin-top:9.7pt;height:0.75pt;width:481.9pt;z-index:251669504;mso-width-relative:page;mso-height-relative:page;" filled="f" stroked="t" coordsize="21600,21600" o:gfxdata="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NEBlkPZAAAACQEAAA8AAAAA&#10;AAAAAQAgAAAAOAAAAGRycy9kb3ducmV2LnhtbFBLAQIUABQAAAAIAIdO4kAcM4J3xAEAAH8DAAAO&#10;AAAAAAAAAAEAIAAAAD4BAABkcnMvZTJvRG9jLnhtbFBLBQYAAAAABgAGAFkBAAB0BQAAAAA=&#10;">
                <v:fill on="f" focussize="0,0"/>
                <v:stroke color="#000000" joinstyle="round" dashstyle="dash"/>
                <v:imagedata o:title=""/>
                <o:lock v:ext="edit" aspectratio="f"/>
              </v:shape>
            </w:pict>
          </mc:Fallback>
        </mc:AlternateContent>
      </w:r>
    </w:p>
    <w:p>
      <w:pPr>
        <w:rPr>
          <w:rFonts w:ascii="仿宋" w:hAnsi="仿宋" w:eastAsia="仿宋"/>
        </w:rPr>
      </w:pPr>
      <w:r>
        <w:rPr>
          <w:rFonts w:hint="eastAsia" w:ascii="仿宋" w:hAnsi="仿宋" w:eastAsia="仿宋"/>
        </w:rPr>
        <w:t>以下栏目由上海清算所审核后填写：</w:t>
      </w:r>
    </w:p>
    <w:tbl>
      <w:tblPr>
        <w:tblStyle w:val="21"/>
        <w:tblW w:w="9220" w:type="dxa"/>
        <w:jc w:val="center"/>
        <w:tblInd w:w="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2993"/>
        <w:gridCol w:w="2410"/>
        <w:gridCol w:w="1275"/>
        <w:gridCol w:w="2542"/>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272" w:hRule="atLeast"/>
          <w:jc w:val="center"/>
        </w:trPr>
        <w:tc>
          <w:tcPr>
            <w:tcW w:w="2993" w:type="dxa"/>
            <w:vAlign w:val="center"/>
          </w:tcPr>
          <w:p>
            <w:pPr>
              <w:ind w:left="27" w:leftChars="13" w:firstLine="1"/>
              <w:jc w:val="center"/>
              <w:rPr>
                <w:rFonts w:ascii="仿宋" w:hAnsi="仿宋" w:eastAsia="仿宋"/>
              </w:rPr>
            </w:pPr>
            <w:r>
              <w:rPr>
                <w:rFonts w:hint="eastAsia" w:ascii="仿宋" w:hAnsi="仿宋" w:eastAsia="仿宋"/>
              </w:rPr>
              <w:t>交易商编码</w:t>
            </w:r>
          </w:p>
        </w:tc>
        <w:tc>
          <w:tcPr>
            <w:tcW w:w="2410" w:type="dxa"/>
            <w:vAlign w:val="center"/>
          </w:tcPr>
          <w:p>
            <w:pPr>
              <w:jc w:val="center"/>
              <w:rPr>
                <w:rFonts w:ascii="仿宋" w:hAnsi="仿宋" w:eastAsia="仿宋"/>
              </w:rPr>
            </w:pPr>
          </w:p>
        </w:tc>
        <w:tc>
          <w:tcPr>
            <w:tcW w:w="1275" w:type="dxa"/>
            <w:vAlign w:val="center"/>
          </w:tcPr>
          <w:p>
            <w:pPr>
              <w:jc w:val="center"/>
              <w:rPr>
                <w:rFonts w:ascii="仿宋" w:hAnsi="仿宋" w:eastAsia="仿宋"/>
              </w:rPr>
            </w:pPr>
            <w:r>
              <w:rPr>
                <w:rFonts w:hint="eastAsia" w:ascii="仿宋" w:hAnsi="仿宋" w:eastAsia="仿宋"/>
              </w:rPr>
              <w:t>设立日期</w:t>
            </w:r>
          </w:p>
        </w:tc>
        <w:tc>
          <w:tcPr>
            <w:tcW w:w="2542" w:type="dxa"/>
            <w:vAlign w:val="center"/>
          </w:tcPr>
          <w:p>
            <w:pPr>
              <w:jc w:val="center"/>
              <w:rPr>
                <w:rFonts w:ascii="仿宋" w:hAnsi="仿宋" w:eastAsia="仿宋"/>
              </w:rPr>
            </w:pPr>
            <w:r>
              <w:rPr>
                <w:rFonts w:hint="eastAsia" w:ascii="仿宋" w:hAnsi="仿宋" w:eastAsia="仿宋"/>
              </w:rPr>
              <w:t>年</w:t>
            </w:r>
            <w:r>
              <w:rPr>
                <w:rFonts w:ascii="仿宋" w:hAnsi="仿宋" w:eastAsia="仿宋"/>
              </w:rPr>
              <w:t xml:space="preserve">     </w:t>
            </w:r>
            <w:r>
              <w:rPr>
                <w:rFonts w:hint="eastAsia" w:ascii="仿宋" w:hAnsi="仿宋" w:eastAsia="仿宋"/>
              </w:rPr>
              <w:t>月</w:t>
            </w:r>
            <w:r>
              <w:rPr>
                <w:rFonts w:ascii="仿宋" w:hAnsi="仿宋" w:eastAsia="仿宋"/>
              </w:rPr>
              <w:t xml:space="preserve">     </w:t>
            </w:r>
            <w:r>
              <w:rPr>
                <w:rFonts w:hint="eastAsia" w:ascii="仿宋" w:hAnsi="仿宋" w:eastAsia="仿宋"/>
              </w:rPr>
              <w:t>日</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272" w:hRule="atLeast"/>
          <w:jc w:val="center"/>
        </w:trPr>
        <w:tc>
          <w:tcPr>
            <w:tcW w:w="2993" w:type="dxa"/>
            <w:vAlign w:val="center"/>
          </w:tcPr>
          <w:p>
            <w:pPr>
              <w:ind w:left="27" w:leftChars="13" w:firstLine="1"/>
              <w:jc w:val="center"/>
              <w:rPr>
                <w:rFonts w:ascii="仿宋" w:hAnsi="仿宋" w:eastAsia="仿宋"/>
              </w:rPr>
            </w:pPr>
            <w:r>
              <w:rPr>
                <w:rFonts w:hint="eastAsia" w:ascii="仿宋" w:hAnsi="仿宋" w:eastAsia="仿宋"/>
              </w:rPr>
              <w:t>交易商名称</w:t>
            </w:r>
          </w:p>
        </w:tc>
        <w:tc>
          <w:tcPr>
            <w:tcW w:w="6227" w:type="dxa"/>
            <w:gridSpan w:val="3"/>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PrEx>
        <w:trPr>
          <w:trHeight w:val="272" w:hRule="atLeast"/>
          <w:jc w:val="center"/>
        </w:trPr>
        <w:tc>
          <w:tcPr>
            <w:tcW w:w="2993" w:type="dxa"/>
            <w:vAlign w:val="center"/>
          </w:tcPr>
          <w:p>
            <w:pPr>
              <w:ind w:left="27" w:leftChars="13" w:firstLine="1"/>
              <w:jc w:val="center"/>
              <w:rPr>
                <w:rFonts w:ascii="仿宋" w:hAnsi="仿宋" w:eastAsia="仿宋"/>
              </w:rPr>
            </w:pPr>
            <w:r>
              <w:rPr>
                <w:rFonts w:hint="eastAsia" w:ascii="仿宋" w:hAnsi="仿宋" w:eastAsia="仿宋"/>
              </w:rPr>
              <w:t>业务专用章</w:t>
            </w:r>
          </w:p>
        </w:tc>
        <w:tc>
          <w:tcPr>
            <w:tcW w:w="6227" w:type="dxa"/>
            <w:gridSpan w:val="3"/>
            <w:vAlign w:val="center"/>
          </w:tcPr>
          <w:p>
            <w:pPr>
              <w:jc w:val="center"/>
              <w:rPr>
                <w:rFonts w:ascii="仿宋" w:hAnsi="仿宋" w:eastAsia="仿宋"/>
              </w:rPr>
            </w:pPr>
          </w:p>
        </w:tc>
      </w:tr>
    </w:tbl>
    <w:p>
      <w:pPr>
        <w:rPr>
          <w:sz w:val="10"/>
          <w:szCs w:val="10"/>
        </w:rPr>
      </w:pPr>
    </w:p>
    <w:p>
      <w:pPr>
        <w:widowControl/>
        <w:spacing w:line="580" w:lineRule="exact"/>
        <w:jc w:val="left"/>
        <w:rPr>
          <w:rFonts w:ascii="黑体" w:hAnsi="宋体" w:eastAsia="黑体"/>
          <w:sz w:val="32"/>
          <w:szCs w:val="32"/>
          <w:lang w:bidi="ar"/>
        </w:rPr>
      </w:pPr>
      <w:r>
        <w:rPr>
          <w:rFonts w:hint="eastAsia" w:ascii="黑体" w:hAnsi="宋体" w:eastAsia="黑体"/>
          <w:sz w:val="32"/>
          <w:szCs w:val="32"/>
          <w:lang w:bidi="ar"/>
        </w:rPr>
        <w:t>附</w:t>
      </w:r>
      <w:r>
        <w:rPr>
          <w:rFonts w:ascii="黑体" w:hAnsi="宋体" w:eastAsia="黑体"/>
          <w:sz w:val="32"/>
          <w:szCs w:val="32"/>
          <w:lang w:bidi="ar"/>
        </w:rPr>
        <w:t>2</w:t>
      </w:r>
    </w:p>
    <w:p>
      <w:pPr>
        <w:spacing w:line="360" w:lineRule="auto"/>
        <w:jc w:val="center"/>
        <w:rPr>
          <w:rFonts w:ascii="宋体" w:hAnsi="宋体" w:cs="宋体"/>
          <w:b/>
          <w:sz w:val="44"/>
          <w:szCs w:val="44"/>
          <w:lang w:bidi="ar"/>
        </w:rPr>
      </w:pPr>
      <w:r>
        <w:rPr>
          <w:rFonts w:hint="eastAsia" w:ascii="宋体" w:hAnsi="宋体" w:cs="宋体"/>
          <w:b/>
          <w:sz w:val="44"/>
          <w:szCs w:val="44"/>
          <w:lang w:bidi="ar"/>
        </w:rPr>
        <w:t>银行间市场清算所股份有限公司</w:t>
      </w:r>
    </w:p>
    <w:p>
      <w:pPr>
        <w:spacing w:line="360" w:lineRule="auto"/>
        <w:jc w:val="center"/>
        <w:rPr>
          <w:rFonts w:ascii="宋体" w:hAnsi="宋体" w:cs="宋体"/>
          <w:b/>
          <w:sz w:val="44"/>
          <w:szCs w:val="44"/>
          <w:lang w:bidi="ar"/>
        </w:rPr>
      </w:pPr>
      <w:r>
        <w:rPr>
          <w:rFonts w:hint="eastAsia" w:ascii="宋体" w:hAnsi="宋体" w:cs="宋体"/>
          <w:b/>
          <w:sz w:val="44"/>
          <w:szCs w:val="44"/>
          <w:lang w:bidi="ar"/>
        </w:rPr>
        <w:t>大宗商品现货清算业务</w:t>
      </w:r>
    </w:p>
    <w:p>
      <w:pPr>
        <w:spacing w:line="360" w:lineRule="auto"/>
        <w:jc w:val="center"/>
        <w:rPr>
          <w:rFonts w:ascii="宋体" w:hAnsi="宋体" w:cs="宋体"/>
          <w:b/>
          <w:sz w:val="44"/>
          <w:szCs w:val="44"/>
          <w:lang w:bidi="ar"/>
        </w:rPr>
      </w:pPr>
      <w:r>
        <w:rPr>
          <w:rFonts w:hint="eastAsia" w:ascii="宋体" w:hAnsi="宋体" w:cs="宋体"/>
          <w:b/>
          <w:sz w:val="44"/>
          <w:szCs w:val="44"/>
          <w:lang w:bidi="ar"/>
        </w:rPr>
        <w:t>交易商新增现货清算成员申请表</w:t>
      </w:r>
    </w:p>
    <w:tbl>
      <w:tblPr>
        <w:tblStyle w:val="21"/>
        <w:tblW w:w="8926" w:type="dxa"/>
        <w:jc w:val="center"/>
        <w:tblInd w:w="0" w:type="dxa"/>
        <w:tblLayout w:type="fixed"/>
        <w:tblCellMar>
          <w:top w:w="0" w:type="dxa"/>
          <w:left w:w="0" w:type="dxa"/>
          <w:bottom w:w="0" w:type="dxa"/>
          <w:right w:w="0" w:type="dxa"/>
        </w:tblCellMar>
      </w:tblPr>
      <w:tblGrid>
        <w:gridCol w:w="1980"/>
        <w:gridCol w:w="251"/>
        <w:gridCol w:w="2159"/>
        <w:gridCol w:w="73"/>
        <w:gridCol w:w="1486"/>
        <w:gridCol w:w="745"/>
        <w:gridCol w:w="814"/>
        <w:gridCol w:w="1418"/>
      </w:tblGrid>
      <w:tr>
        <w:tblPrEx>
          <w:tblLayout w:type="fixed"/>
          <w:tblCellMar>
            <w:top w:w="0" w:type="dxa"/>
            <w:left w:w="0" w:type="dxa"/>
            <w:bottom w:w="0" w:type="dxa"/>
            <w:right w:w="0" w:type="dxa"/>
          </w:tblCellMar>
        </w:tblPrEx>
        <w:trPr>
          <w:trHeight w:val="454" w:hRule="atLeast"/>
          <w:jc w:val="center"/>
        </w:trPr>
        <w:tc>
          <w:tcPr>
            <w:tcW w:w="8926"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b/>
                <w:bCs/>
              </w:rPr>
            </w:pPr>
            <w:r>
              <w:rPr>
                <w:rFonts w:hint="eastAsia" w:ascii="仿宋" w:hAnsi="仿宋" w:eastAsia="仿宋"/>
                <w:b/>
                <w:bCs/>
              </w:rPr>
              <w:t>交易商基本信息</w:t>
            </w:r>
          </w:p>
        </w:tc>
      </w:tr>
      <w:tr>
        <w:tblPrEx>
          <w:tblLayout w:type="fixed"/>
          <w:tblCellMar>
            <w:top w:w="0" w:type="dxa"/>
            <w:left w:w="0" w:type="dxa"/>
            <w:bottom w:w="0" w:type="dxa"/>
            <w:right w:w="0" w:type="dxa"/>
          </w:tblCellMar>
        </w:tblPrEx>
        <w:trPr>
          <w:trHeight w:val="454" w:hRule="atLeast"/>
          <w:jc w:val="center"/>
        </w:trPr>
        <w:tc>
          <w:tcPr>
            <w:tcW w:w="19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中文全称</w:t>
            </w:r>
          </w:p>
        </w:tc>
        <w:tc>
          <w:tcPr>
            <w:tcW w:w="3969"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1559"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交易商编码</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r>
      <w:tr>
        <w:tblPrEx>
          <w:tblLayout w:type="fixed"/>
          <w:tblCellMar>
            <w:top w:w="0" w:type="dxa"/>
            <w:left w:w="0" w:type="dxa"/>
            <w:bottom w:w="0" w:type="dxa"/>
            <w:right w:w="0" w:type="dxa"/>
          </w:tblCellMar>
        </w:tblPrEx>
        <w:trPr>
          <w:trHeight w:val="454" w:hRule="atLeast"/>
          <w:jc w:val="center"/>
        </w:trPr>
        <w:tc>
          <w:tcPr>
            <w:tcW w:w="8926"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b/>
                <w:bCs/>
              </w:rPr>
            </w:pPr>
            <w:r>
              <w:rPr>
                <w:rFonts w:hint="eastAsia" w:ascii="仿宋" w:hAnsi="仿宋" w:eastAsia="仿宋"/>
                <w:b/>
                <w:bCs/>
              </w:rPr>
              <w:t>新增资金结算账户基本信息</w:t>
            </w:r>
            <w:r>
              <w:rPr>
                <w:rFonts w:ascii="仿宋" w:hAnsi="仿宋" w:eastAsia="仿宋"/>
                <w:b/>
                <w:bCs/>
                <w:vertAlign w:val="superscript"/>
              </w:rPr>
              <w:t>1</w:t>
            </w:r>
          </w:p>
        </w:tc>
      </w:tr>
      <w:tr>
        <w:tblPrEx>
          <w:tblLayout w:type="fixed"/>
          <w:tblCellMar>
            <w:top w:w="0" w:type="dxa"/>
            <w:left w:w="0" w:type="dxa"/>
            <w:bottom w:w="0" w:type="dxa"/>
            <w:right w:w="0" w:type="dxa"/>
          </w:tblCellMar>
        </w:tblPrEx>
        <w:trPr>
          <w:trHeight w:val="454" w:hRule="atLeast"/>
          <w:jc w:val="center"/>
        </w:trPr>
        <w:tc>
          <w:tcPr>
            <w:tcW w:w="19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1.现货清算成员名称</w:t>
            </w:r>
          </w:p>
        </w:tc>
        <w:tc>
          <w:tcPr>
            <w:tcW w:w="5528" w:type="dxa"/>
            <w:gridSpan w:val="6"/>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1418"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协议签署状态</w:t>
            </w:r>
            <w:r>
              <w:rPr>
                <w:rFonts w:hint="eastAsia" w:ascii="仿宋" w:hAnsi="仿宋" w:eastAsia="仿宋"/>
              </w:rPr>
              <w:br w:type="textWrapping"/>
            </w:r>
            <w:r>
              <w:rPr>
                <w:rFonts w:hint="eastAsia" w:ascii="仿宋" w:hAnsi="仿宋" w:eastAsia="仿宋"/>
              </w:rPr>
              <w:t>□</w:t>
            </w:r>
          </w:p>
        </w:tc>
      </w:tr>
      <w:tr>
        <w:tblPrEx>
          <w:tblLayout w:type="fixed"/>
          <w:tblCellMar>
            <w:top w:w="0" w:type="dxa"/>
            <w:left w:w="0" w:type="dxa"/>
            <w:bottom w:w="0" w:type="dxa"/>
            <w:right w:w="0" w:type="dxa"/>
          </w:tblCellMar>
        </w:tblPrEx>
        <w:trPr>
          <w:trHeight w:val="454" w:hRule="atLeast"/>
          <w:jc w:val="center"/>
        </w:trPr>
        <w:tc>
          <w:tcPr>
            <w:tcW w:w="19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账号</w:t>
            </w:r>
            <w:r>
              <w:rPr>
                <w:rFonts w:ascii="仿宋" w:hAnsi="仿宋" w:eastAsia="仿宋"/>
                <w:b/>
                <w:bCs/>
                <w:vertAlign w:val="superscript"/>
              </w:rPr>
              <w:t>2</w:t>
            </w:r>
          </w:p>
        </w:tc>
        <w:tc>
          <w:tcPr>
            <w:tcW w:w="2410"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币种</w:t>
            </w:r>
          </w:p>
        </w:tc>
        <w:tc>
          <w:tcPr>
            <w:tcW w:w="1559"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1418"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rPr>
            </w:pPr>
          </w:p>
        </w:tc>
      </w:tr>
      <w:tr>
        <w:tblPrEx>
          <w:tblLayout w:type="fixed"/>
          <w:tblCellMar>
            <w:top w:w="0" w:type="dxa"/>
            <w:left w:w="0" w:type="dxa"/>
            <w:bottom w:w="0" w:type="dxa"/>
            <w:right w:w="0" w:type="dxa"/>
          </w:tblCellMar>
        </w:tblPrEx>
        <w:trPr>
          <w:trHeight w:val="454" w:hRule="atLeast"/>
          <w:jc w:val="center"/>
        </w:trPr>
        <w:tc>
          <w:tcPr>
            <w:tcW w:w="19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2.现货清算成员名称</w:t>
            </w:r>
          </w:p>
        </w:tc>
        <w:tc>
          <w:tcPr>
            <w:tcW w:w="5528" w:type="dxa"/>
            <w:gridSpan w:val="6"/>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1418"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协议签署状态</w:t>
            </w:r>
            <w:r>
              <w:rPr>
                <w:rFonts w:hint="eastAsia" w:ascii="仿宋" w:hAnsi="仿宋" w:eastAsia="仿宋"/>
              </w:rPr>
              <w:br w:type="textWrapping"/>
            </w:r>
            <w:r>
              <w:rPr>
                <w:rFonts w:hint="eastAsia" w:ascii="仿宋" w:hAnsi="仿宋" w:eastAsia="仿宋"/>
              </w:rPr>
              <w:t>□</w:t>
            </w:r>
          </w:p>
        </w:tc>
      </w:tr>
      <w:tr>
        <w:tblPrEx>
          <w:tblLayout w:type="fixed"/>
          <w:tblCellMar>
            <w:top w:w="0" w:type="dxa"/>
            <w:left w:w="0" w:type="dxa"/>
            <w:bottom w:w="0" w:type="dxa"/>
            <w:right w:w="0" w:type="dxa"/>
          </w:tblCellMar>
        </w:tblPrEx>
        <w:trPr>
          <w:trHeight w:val="454" w:hRule="atLeast"/>
          <w:jc w:val="center"/>
        </w:trPr>
        <w:tc>
          <w:tcPr>
            <w:tcW w:w="19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账号</w:t>
            </w:r>
          </w:p>
        </w:tc>
        <w:tc>
          <w:tcPr>
            <w:tcW w:w="2410"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币种</w:t>
            </w:r>
          </w:p>
        </w:tc>
        <w:tc>
          <w:tcPr>
            <w:tcW w:w="1559"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1418"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rPr>
            </w:pPr>
          </w:p>
        </w:tc>
      </w:tr>
      <w:tr>
        <w:tblPrEx>
          <w:tblLayout w:type="fixed"/>
          <w:tblCellMar>
            <w:top w:w="0" w:type="dxa"/>
            <w:left w:w="0" w:type="dxa"/>
            <w:bottom w:w="0" w:type="dxa"/>
            <w:right w:w="0" w:type="dxa"/>
          </w:tblCellMar>
        </w:tblPrEx>
        <w:trPr>
          <w:trHeight w:val="454" w:hRule="atLeast"/>
          <w:jc w:val="center"/>
        </w:trPr>
        <w:tc>
          <w:tcPr>
            <w:tcW w:w="8926"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b/>
                <w:bCs/>
              </w:rPr>
            </w:pPr>
            <w:r>
              <w:rPr>
                <w:rFonts w:hint="eastAsia" w:ascii="仿宋" w:hAnsi="仿宋" w:eastAsia="仿宋"/>
                <w:b/>
                <w:bCs/>
              </w:rPr>
              <w:t>现货平台基本信息</w:t>
            </w:r>
          </w:p>
        </w:tc>
      </w:tr>
      <w:tr>
        <w:tblPrEx>
          <w:tblLayout w:type="fixed"/>
          <w:tblCellMar>
            <w:top w:w="0" w:type="dxa"/>
            <w:left w:w="0" w:type="dxa"/>
            <w:bottom w:w="0" w:type="dxa"/>
            <w:right w:w="0" w:type="dxa"/>
          </w:tblCellMar>
        </w:tblPrEx>
        <w:trPr>
          <w:trHeight w:val="454" w:hRule="atLeast"/>
          <w:jc w:val="center"/>
        </w:trPr>
        <w:tc>
          <w:tcPr>
            <w:tcW w:w="19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现货平台名称</w:t>
            </w:r>
          </w:p>
        </w:tc>
        <w:tc>
          <w:tcPr>
            <w:tcW w:w="2410"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1559"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现货平台编码</w:t>
            </w:r>
          </w:p>
        </w:tc>
        <w:tc>
          <w:tcPr>
            <w:tcW w:w="2977"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r>
      <w:tr>
        <w:tblPrEx>
          <w:tblLayout w:type="fixed"/>
          <w:tblCellMar>
            <w:top w:w="0" w:type="dxa"/>
            <w:left w:w="0" w:type="dxa"/>
            <w:bottom w:w="0" w:type="dxa"/>
            <w:right w:w="0" w:type="dxa"/>
          </w:tblCellMar>
        </w:tblPrEx>
        <w:trPr>
          <w:trHeight w:val="454" w:hRule="atLeast"/>
          <w:jc w:val="center"/>
        </w:trPr>
        <w:tc>
          <w:tcPr>
            <w:tcW w:w="198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联系人</w:t>
            </w:r>
          </w:p>
        </w:tc>
        <w:tc>
          <w:tcPr>
            <w:tcW w:w="2410"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c>
          <w:tcPr>
            <w:tcW w:w="1559"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联系电话</w:t>
            </w:r>
          </w:p>
        </w:tc>
        <w:tc>
          <w:tcPr>
            <w:tcW w:w="2977"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rPr>
            </w:pPr>
            <w:r>
              <w:rPr>
                <w:rFonts w:hint="eastAsia" w:ascii="仿宋" w:hAnsi="仿宋" w:eastAsia="仿宋"/>
              </w:rPr>
              <w:t>　</w:t>
            </w:r>
          </w:p>
        </w:tc>
      </w:tr>
      <w:tr>
        <w:tblPrEx>
          <w:tblLayout w:type="fixed"/>
          <w:tblCellMar>
            <w:top w:w="0" w:type="dxa"/>
            <w:left w:w="0" w:type="dxa"/>
            <w:bottom w:w="0" w:type="dxa"/>
            <w:right w:w="0" w:type="dxa"/>
          </w:tblCellMar>
        </w:tblPrEx>
        <w:trPr>
          <w:trHeight w:val="270" w:hRule="atLeast"/>
          <w:jc w:val="center"/>
        </w:trPr>
        <w:tc>
          <w:tcPr>
            <w:tcW w:w="8926"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contextualSpacing/>
              <w:rPr>
                <w:rFonts w:ascii="仿宋" w:hAnsi="仿宋" w:eastAsia="仿宋"/>
              </w:rPr>
            </w:pPr>
            <w:r>
              <w:rPr>
                <w:rFonts w:ascii="仿宋" w:hAnsi="仿宋" w:eastAsia="仿宋"/>
              </w:rPr>
              <w:t xml:space="preserve">                       </w:t>
            </w:r>
          </w:p>
          <w:p>
            <w:pPr>
              <w:spacing w:line="240" w:lineRule="exact"/>
              <w:contextualSpacing/>
              <w:rPr>
                <w:rFonts w:ascii="仿宋" w:hAnsi="仿宋" w:eastAsia="仿宋"/>
              </w:rPr>
            </w:pPr>
          </w:p>
          <w:p>
            <w:pPr>
              <w:spacing w:line="240" w:lineRule="exact"/>
              <w:contextualSpacing/>
              <w:rPr>
                <w:rFonts w:ascii="仿宋" w:hAnsi="仿宋" w:eastAsia="仿宋"/>
              </w:rPr>
            </w:pPr>
          </w:p>
          <w:p>
            <w:pPr>
              <w:spacing w:line="240" w:lineRule="exact"/>
              <w:contextualSpacing/>
              <w:rPr>
                <w:rFonts w:ascii="仿宋" w:hAnsi="仿宋" w:eastAsia="仿宋"/>
              </w:rPr>
            </w:pPr>
          </w:p>
          <w:p>
            <w:pPr>
              <w:spacing w:line="240" w:lineRule="exact"/>
              <w:contextualSpacing/>
              <w:rPr>
                <w:rFonts w:ascii="仿宋" w:hAnsi="仿宋" w:eastAsia="仿宋"/>
              </w:rPr>
            </w:pPr>
          </w:p>
          <w:p>
            <w:pPr>
              <w:spacing w:line="240" w:lineRule="exact"/>
              <w:contextualSpacing/>
              <w:rPr>
                <w:rFonts w:ascii="仿宋" w:hAnsi="仿宋" w:eastAsia="仿宋"/>
              </w:rPr>
            </w:pPr>
          </w:p>
          <w:p>
            <w:pPr>
              <w:spacing w:line="240" w:lineRule="exact"/>
              <w:contextualSpacing/>
              <w:rPr>
                <w:rFonts w:ascii="仿宋" w:hAnsi="仿宋" w:eastAsia="仿宋"/>
              </w:rPr>
            </w:pPr>
          </w:p>
          <w:p>
            <w:pPr>
              <w:spacing w:line="240" w:lineRule="exact"/>
              <w:contextualSpacing/>
              <w:rPr>
                <w:rFonts w:ascii="仿宋" w:hAnsi="仿宋" w:eastAsia="仿宋"/>
              </w:rPr>
            </w:pPr>
          </w:p>
          <w:p>
            <w:pPr>
              <w:spacing w:line="240" w:lineRule="exact"/>
              <w:contextualSpacing/>
              <w:rPr>
                <w:rFonts w:ascii="仿宋" w:hAnsi="仿宋" w:eastAsia="仿宋"/>
              </w:rPr>
            </w:pPr>
          </w:p>
          <w:p>
            <w:pPr>
              <w:spacing w:line="240" w:lineRule="exact"/>
              <w:contextualSpacing/>
              <w:rPr>
                <w:rFonts w:ascii="仿宋" w:hAnsi="仿宋" w:eastAsia="仿宋"/>
              </w:rPr>
            </w:pPr>
          </w:p>
          <w:p>
            <w:pPr>
              <w:spacing w:line="240" w:lineRule="exact"/>
              <w:contextualSpacing/>
              <w:rPr>
                <w:rFonts w:ascii="仿宋" w:hAnsi="仿宋" w:eastAsia="仿宋"/>
              </w:rPr>
            </w:pPr>
          </w:p>
          <w:p>
            <w:pPr>
              <w:spacing w:line="240" w:lineRule="exact"/>
              <w:contextualSpacing/>
              <w:rPr>
                <w:rFonts w:ascii="仿宋" w:hAnsi="仿宋" w:eastAsia="仿宋"/>
              </w:rPr>
            </w:pPr>
          </w:p>
          <w:p>
            <w:pPr>
              <w:spacing w:line="240" w:lineRule="exact"/>
              <w:contextualSpacing/>
              <w:rPr>
                <w:rFonts w:ascii="仿宋" w:hAnsi="仿宋" w:eastAsia="仿宋"/>
              </w:rPr>
            </w:pPr>
          </w:p>
          <w:p>
            <w:pPr>
              <w:spacing w:line="240" w:lineRule="exact"/>
              <w:contextualSpacing/>
              <w:rPr>
                <w:rFonts w:ascii="仿宋" w:hAnsi="仿宋" w:eastAsia="仿宋"/>
              </w:rPr>
            </w:pPr>
          </w:p>
          <w:p>
            <w:pPr>
              <w:spacing w:line="240" w:lineRule="exact"/>
              <w:contextualSpacing/>
              <w:rPr>
                <w:rFonts w:ascii="仿宋" w:hAnsi="仿宋" w:eastAsia="仿宋"/>
              </w:rPr>
            </w:pPr>
          </w:p>
          <w:p>
            <w:pPr>
              <w:spacing w:line="240" w:lineRule="exact"/>
              <w:contextualSpacing/>
              <w:rPr>
                <w:rFonts w:ascii="仿宋" w:hAnsi="仿宋" w:eastAsia="仿宋"/>
              </w:rPr>
            </w:pPr>
            <w:r>
              <w:rPr>
                <w:rFonts w:hint="eastAsia" w:ascii="仿宋" w:hAnsi="仿宋" w:eastAsia="仿宋"/>
              </w:rPr>
              <w:t>交易商公章：</w:t>
            </w:r>
            <w:r>
              <w:rPr>
                <w:rFonts w:ascii="仿宋" w:hAnsi="仿宋" w:eastAsia="仿宋"/>
              </w:rPr>
              <w:t xml:space="preserve">    </w:t>
            </w:r>
          </w:p>
          <w:p>
            <w:pPr>
              <w:spacing w:line="240" w:lineRule="exact"/>
              <w:ind w:firstLine="2520" w:firstLineChars="1200"/>
              <w:contextualSpacing/>
              <w:rPr>
                <w:rFonts w:ascii="仿宋" w:hAnsi="仿宋" w:eastAsia="仿宋"/>
              </w:rPr>
            </w:pPr>
          </w:p>
          <w:p>
            <w:pPr>
              <w:spacing w:line="240" w:lineRule="exact"/>
              <w:contextualSpacing/>
              <w:rPr>
                <w:rFonts w:ascii="仿宋" w:hAnsi="仿宋" w:eastAsia="仿宋"/>
              </w:rPr>
            </w:pPr>
            <w:r>
              <w:rPr>
                <w:rFonts w:hint="eastAsia" w:ascii="仿宋" w:hAnsi="仿宋" w:eastAsia="仿宋"/>
              </w:rPr>
              <w:t>交易商法定代表人或授权代表签章：</w:t>
            </w:r>
            <w:r>
              <w:rPr>
                <w:rFonts w:ascii="仿宋" w:hAnsi="仿宋" w:eastAsia="仿宋"/>
              </w:rPr>
              <w:t xml:space="preserve">            </w:t>
            </w:r>
            <w:r>
              <w:rPr>
                <w:rFonts w:hint="eastAsia" w:ascii="仿宋" w:hAnsi="仿宋" w:eastAsia="仿宋"/>
              </w:rPr>
              <w:t>现货平台公章（或预留印鉴章）：</w:t>
            </w:r>
          </w:p>
          <w:p>
            <w:pPr>
              <w:ind w:left="1470" w:hanging="1470" w:hangingChars="700"/>
              <w:jc w:val="left"/>
              <w:rPr>
                <w:rFonts w:ascii="仿宋" w:hAnsi="仿宋" w:eastAsia="仿宋"/>
              </w:rPr>
            </w:pPr>
            <w:r>
              <w:rPr>
                <w:rFonts w:ascii="仿宋" w:hAnsi="仿宋" w:eastAsia="仿宋"/>
              </w:rPr>
              <w:t xml:space="preserve">                                                                                                                 年     月     日</w:t>
            </w:r>
            <w:r>
              <w:rPr>
                <w:rFonts w:hint="eastAsia" w:ascii="仿宋" w:hAnsi="仿宋" w:eastAsia="仿宋"/>
              </w:rPr>
              <w:t>　</w:t>
            </w:r>
          </w:p>
        </w:tc>
      </w:tr>
      <w:tr>
        <w:tblPrEx>
          <w:tblLayout w:type="fixed"/>
          <w:tblCellMar>
            <w:top w:w="0" w:type="dxa"/>
            <w:left w:w="0" w:type="dxa"/>
            <w:bottom w:w="0" w:type="dxa"/>
            <w:right w:w="0" w:type="dxa"/>
          </w:tblCellMar>
        </w:tblPrEx>
        <w:trPr>
          <w:trHeight w:val="510" w:hRule="atLeast"/>
          <w:jc w:val="center"/>
        </w:trPr>
        <w:tc>
          <w:tcPr>
            <w:tcW w:w="223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仿宋" w:hAnsi="仿宋" w:eastAsia="仿宋"/>
              </w:rPr>
            </w:pPr>
            <w:r>
              <w:rPr>
                <w:rFonts w:ascii="仿宋" w:hAnsi="仿宋" w:eastAsia="仿宋"/>
              </w:rPr>
              <w:t>经办人</w:t>
            </w:r>
          </w:p>
        </w:tc>
        <w:tc>
          <w:tcPr>
            <w:tcW w:w="22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rPr>
            </w:pPr>
          </w:p>
        </w:tc>
        <w:tc>
          <w:tcPr>
            <w:tcW w:w="22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rPr>
            </w:pPr>
            <w:r>
              <w:rPr>
                <w:rFonts w:hint="eastAsia" w:ascii="仿宋" w:hAnsi="仿宋" w:eastAsia="仿宋"/>
              </w:rPr>
              <w:t>联系电话</w:t>
            </w:r>
          </w:p>
        </w:tc>
        <w:tc>
          <w:tcPr>
            <w:tcW w:w="22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rPr>
            </w:pPr>
          </w:p>
        </w:tc>
      </w:tr>
      <w:tr>
        <w:tblPrEx>
          <w:tblLayout w:type="fixed"/>
          <w:tblCellMar>
            <w:top w:w="0" w:type="dxa"/>
            <w:left w:w="0" w:type="dxa"/>
            <w:bottom w:w="0" w:type="dxa"/>
            <w:right w:w="0" w:type="dxa"/>
          </w:tblCellMar>
        </w:tblPrEx>
        <w:trPr>
          <w:trHeight w:val="216" w:hRule="atLeast"/>
          <w:jc w:val="center"/>
        </w:trPr>
        <w:tc>
          <w:tcPr>
            <w:tcW w:w="8926"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仿宋" w:hAnsi="仿宋" w:eastAsia="仿宋"/>
              </w:rPr>
            </w:pPr>
            <w:r>
              <w:rPr>
                <w:rFonts w:ascii="仿宋" w:hAnsi="仿宋" w:eastAsia="仿宋"/>
              </w:rPr>
              <w:t>1.</w:t>
            </w:r>
            <w:r>
              <w:rPr>
                <w:rFonts w:hint="eastAsia" w:ascii="仿宋" w:hAnsi="仿宋" w:eastAsia="仿宋"/>
              </w:rPr>
              <w:t>新增资金结算账户由交易商按照实际需求填写，协议签署状态由上海清算所填写。</w:t>
            </w:r>
          </w:p>
          <w:p>
            <w:pPr>
              <w:jc w:val="left"/>
              <w:rPr>
                <w:rFonts w:ascii="仿宋" w:hAnsi="仿宋" w:eastAsia="仿宋"/>
              </w:rPr>
            </w:pPr>
            <w:r>
              <w:rPr>
                <w:rFonts w:ascii="仿宋" w:hAnsi="仿宋" w:eastAsia="仿宋"/>
              </w:rPr>
              <w:t>2.</w:t>
            </w:r>
            <w:r>
              <w:rPr>
                <w:rFonts w:hint="eastAsia" w:ascii="仿宋" w:hAnsi="仿宋" w:eastAsia="仿宋"/>
              </w:rPr>
              <w:t>新增数字人民币对公钱包账号的交易商，应在账号处填写数字人民币对公钱包账号信息，币种处填写“数字人民币”。</w:t>
            </w:r>
          </w:p>
        </w:tc>
      </w:tr>
    </w:tbl>
    <w:p>
      <w:pPr>
        <w:widowControl/>
        <w:spacing w:line="580" w:lineRule="exact"/>
        <w:jc w:val="left"/>
        <w:rPr>
          <w:rFonts w:ascii="黑体" w:hAnsi="宋体" w:eastAsia="黑体"/>
          <w:sz w:val="32"/>
          <w:szCs w:val="32"/>
          <w:lang w:bidi="ar"/>
        </w:rPr>
      </w:pPr>
      <w:r>
        <w:rPr>
          <w:rFonts w:hint="eastAsia" w:ascii="黑体" w:hAnsi="宋体" w:eastAsia="黑体"/>
          <w:sz w:val="32"/>
          <w:szCs w:val="32"/>
          <w:lang w:bidi="ar"/>
        </w:rPr>
        <w:t>附3</w:t>
      </w:r>
      <w:r>
        <w:rPr>
          <w:rFonts w:ascii="黑体" w:hAnsi="宋体" w:eastAsia="黑体"/>
          <w:sz w:val="32"/>
          <w:szCs w:val="32"/>
          <w:lang w:bidi="ar"/>
        </w:rPr>
        <w:t xml:space="preserve"> </w:t>
      </w:r>
    </w:p>
    <w:p>
      <w:pPr>
        <w:spacing w:line="360" w:lineRule="auto"/>
        <w:jc w:val="center"/>
        <w:rPr>
          <w:rFonts w:ascii="宋体" w:hAnsi="宋体" w:cs="宋体"/>
          <w:b/>
          <w:sz w:val="44"/>
          <w:szCs w:val="44"/>
          <w:lang w:bidi="ar"/>
        </w:rPr>
      </w:pPr>
      <w:r>
        <w:rPr>
          <w:rFonts w:hint="eastAsia" w:ascii="宋体" w:hAnsi="宋体" w:cs="宋体"/>
          <w:b/>
          <w:sz w:val="44"/>
          <w:szCs w:val="44"/>
          <w:lang w:bidi="ar"/>
        </w:rPr>
        <w:t>银行间市场清算所股份有限公司</w:t>
      </w:r>
    </w:p>
    <w:p>
      <w:pPr>
        <w:spacing w:line="360" w:lineRule="auto"/>
        <w:jc w:val="center"/>
        <w:rPr>
          <w:rFonts w:ascii="宋体" w:hAnsi="宋体" w:cs="宋体"/>
          <w:b/>
          <w:sz w:val="44"/>
          <w:szCs w:val="44"/>
          <w:lang w:bidi="ar"/>
        </w:rPr>
      </w:pPr>
      <w:r>
        <w:rPr>
          <w:rFonts w:hint="eastAsia" w:ascii="宋体" w:hAnsi="宋体" w:cs="宋体"/>
          <w:b/>
          <w:sz w:val="44"/>
          <w:szCs w:val="44"/>
          <w:lang w:bidi="ar"/>
        </w:rPr>
        <w:t>大宗商品现货清算业务</w:t>
      </w:r>
    </w:p>
    <w:p>
      <w:pPr>
        <w:spacing w:line="360" w:lineRule="auto"/>
        <w:jc w:val="center"/>
        <w:rPr>
          <w:rFonts w:ascii="宋体" w:hAnsi="宋体" w:cs="宋体"/>
          <w:b/>
          <w:sz w:val="44"/>
          <w:szCs w:val="44"/>
          <w:lang w:bidi="ar"/>
        </w:rPr>
      </w:pPr>
      <w:r>
        <w:rPr>
          <w:rFonts w:hint="eastAsia" w:ascii="宋体" w:hAnsi="宋体" w:cs="宋体"/>
          <w:b/>
          <w:sz w:val="44"/>
          <w:szCs w:val="44"/>
          <w:lang w:bidi="ar"/>
        </w:rPr>
        <w:t>机构</w:t>
      </w:r>
      <w:r>
        <w:rPr>
          <w:rFonts w:ascii="宋体" w:hAnsi="宋体" w:cs="宋体"/>
          <w:b/>
          <w:sz w:val="44"/>
          <w:szCs w:val="44"/>
          <w:lang w:bidi="ar"/>
        </w:rPr>
        <w:t>信息变更报备单</w:t>
      </w:r>
    </w:p>
    <w:tbl>
      <w:tblPr>
        <w:tblStyle w:val="21"/>
        <w:tblW w:w="850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701"/>
        <w:gridCol w:w="284"/>
        <w:gridCol w:w="2126"/>
        <w:gridCol w:w="2410"/>
        <w:gridCol w:w="19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31" w:hRule="atLeast"/>
        </w:trPr>
        <w:tc>
          <w:tcPr>
            <w:tcW w:w="8505" w:type="dxa"/>
            <w:gridSpan w:val="5"/>
            <w:shd w:val="clear" w:color="auto" w:fill="auto"/>
            <w:vAlign w:val="center"/>
          </w:tcPr>
          <w:p>
            <w:pPr>
              <w:pStyle w:val="36"/>
              <w:jc w:val="center"/>
              <w:rPr>
                <w:rFonts w:ascii="Times New Roman" w:hAnsi="Times New Roman" w:cs="Times New Roman"/>
                <w:b/>
                <w:color w:val="auto"/>
              </w:rPr>
            </w:pPr>
            <w:r>
              <w:rPr>
                <w:rFonts w:hint="eastAsia" w:ascii="Times New Roman" w:hAnsi="Times New Roman" w:cs="Times New Roman"/>
                <w:b/>
                <w:color w:val="auto"/>
              </w:rPr>
              <w:t>变更报备信息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67" w:hRule="atLeast"/>
        </w:trPr>
        <w:tc>
          <w:tcPr>
            <w:tcW w:w="1985" w:type="dxa"/>
            <w:gridSpan w:val="2"/>
            <w:shd w:val="clear" w:color="auto" w:fill="auto"/>
            <w:vAlign w:val="center"/>
          </w:tcPr>
          <w:p>
            <w:pPr>
              <w:pStyle w:val="36"/>
              <w:jc w:val="center"/>
              <w:rPr>
                <w:rFonts w:ascii="Times New Roman" w:hAnsi="Times New Roman" w:cs="Times New Roman"/>
                <w:color w:val="auto"/>
              </w:rPr>
            </w:pPr>
            <w:r>
              <w:rPr>
                <w:rFonts w:hint="eastAsia" w:ascii="Times New Roman" w:hAnsi="Times New Roman" w:cs="Times New Roman"/>
                <w:color w:val="auto"/>
              </w:rPr>
              <w:t>机构</w:t>
            </w:r>
            <w:r>
              <w:rPr>
                <w:rFonts w:ascii="Times New Roman" w:hAnsi="Times New Roman" w:cs="Times New Roman"/>
                <w:color w:val="auto"/>
              </w:rPr>
              <w:t>类型</w:t>
            </w:r>
          </w:p>
        </w:tc>
        <w:tc>
          <w:tcPr>
            <w:tcW w:w="6520" w:type="dxa"/>
            <w:gridSpan w:val="3"/>
            <w:shd w:val="clear" w:color="auto" w:fill="auto"/>
            <w:vAlign w:val="center"/>
          </w:tcPr>
          <w:p>
            <w:pPr>
              <w:pStyle w:val="36"/>
              <w:rPr>
                <w:rFonts w:ascii="Times New Roman" w:hAnsi="Times New Roman" w:cs="Times New Roman"/>
                <w:color w:val="auto"/>
              </w:rPr>
            </w:pPr>
            <w:r>
              <w:rPr>
                <w:rFonts w:hint="eastAsia" w:hAnsi="仿宋"/>
              </w:rPr>
              <w:t xml:space="preserve">□交易商 </w:t>
            </w:r>
            <w:r>
              <w:rPr>
                <w:rFonts w:hAnsi="仿宋"/>
              </w:rPr>
              <w:t xml:space="preserve">    </w:t>
            </w:r>
            <w:r>
              <w:rPr>
                <w:rFonts w:hint="eastAsia" w:hAnsi="仿宋"/>
              </w:rPr>
              <w:t xml:space="preserve"> □现货平台 </w:t>
            </w:r>
            <w:r>
              <w:rPr>
                <w:rFonts w:hAnsi="仿宋"/>
              </w:rPr>
              <w:t xml:space="preserve">    </w:t>
            </w:r>
            <w:r>
              <w:rPr>
                <w:rFonts w:hint="eastAsia" w:hAnsi="仿宋"/>
              </w:rPr>
              <w:t xml:space="preserve"> □现货清算成员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67" w:hRule="atLeast"/>
        </w:trPr>
        <w:tc>
          <w:tcPr>
            <w:tcW w:w="1985" w:type="dxa"/>
            <w:gridSpan w:val="2"/>
            <w:shd w:val="clear" w:color="auto" w:fill="auto"/>
            <w:vAlign w:val="center"/>
          </w:tcPr>
          <w:p>
            <w:pPr>
              <w:pStyle w:val="36"/>
              <w:jc w:val="center"/>
              <w:rPr>
                <w:rFonts w:ascii="Times New Roman" w:hAnsi="Times New Roman" w:cs="Times New Roman"/>
                <w:color w:val="auto"/>
              </w:rPr>
            </w:pPr>
            <w:r>
              <w:rPr>
                <w:rFonts w:hint="eastAsia" w:ascii="Times New Roman" w:hAnsi="Times New Roman" w:cs="Times New Roman"/>
                <w:color w:val="auto"/>
              </w:rPr>
              <w:t>机构名称</w:t>
            </w:r>
          </w:p>
        </w:tc>
        <w:tc>
          <w:tcPr>
            <w:tcW w:w="6520" w:type="dxa"/>
            <w:gridSpan w:val="3"/>
            <w:shd w:val="clear" w:color="auto" w:fill="auto"/>
            <w:vAlign w:val="center"/>
          </w:tcPr>
          <w:p>
            <w:pPr>
              <w:pStyle w:val="36"/>
              <w:jc w:val="center"/>
              <w:rPr>
                <w:rFonts w:ascii="Times New Roman" w:hAnsi="Times New Roman" w:cs="Times New Roman"/>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29" w:hRule="atLeast"/>
        </w:trPr>
        <w:tc>
          <w:tcPr>
            <w:tcW w:w="1985" w:type="dxa"/>
            <w:gridSpan w:val="2"/>
            <w:shd w:val="clear" w:color="auto" w:fill="auto"/>
            <w:vAlign w:val="center"/>
          </w:tcPr>
          <w:p>
            <w:pPr>
              <w:pStyle w:val="36"/>
              <w:jc w:val="center"/>
              <w:rPr>
                <w:rFonts w:ascii="Times New Roman" w:hAnsi="Times New Roman" w:cs="Times New Roman"/>
                <w:color w:val="auto"/>
              </w:rPr>
            </w:pPr>
            <w:r>
              <w:rPr>
                <w:rFonts w:hint="eastAsia" w:ascii="Times New Roman" w:hAnsi="Times New Roman" w:cs="Times New Roman"/>
                <w:color w:val="auto"/>
              </w:rPr>
              <w:t>变更项目</w:t>
            </w:r>
          </w:p>
        </w:tc>
        <w:tc>
          <w:tcPr>
            <w:tcW w:w="6520" w:type="dxa"/>
            <w:gridSpan w:val="3"/>
            <w:shd w:val="clear" w:color="auto" w:fill="auto"/>
            <w:vAlign w:val="center"/>
          </w:tcPr>
          <w:p>
            <w:pPr>
              <w:pStyle w:val="36"/>
              <w:jc w:val="center"/>
              <w:rPr>
                <w:rFonts w:ascii="Times New Roman" w:hAnsi="Times New Roman" w:cs="Times New Roman"/>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63" w:hRule="atLeast"/>
        </w:trPr>
        <w:tc>
          <w:tcPr>
            <w:tcW w:w="1985" w:type="dxa"/>
            <w:gridSpan w:val="2"/>
            <w:shd w:val="clear" w:color="auto" w:fill="auto"/>
            <w:vAlign w:val="center"/>
          </w:tcPr>
          <w:p>
            <w:pPr>
              <w:pStyle w:val="36"/>
              <w:jc w:val="center"/>
              <w:rPr>
                <w:rFonts w:ascii="Times New Roman" w:hAnsi="Times New Roman" w:cs="Times New Roman"/>
                <w:color w:val="auto"/>
              </w:rPr>
            </w:pPr>
            <w:r>
              <w:rPr>
                <w:rFonts w:hint="eastAsia" w:ascii="Times New Roman" w:hAnsi="Times New Roman" w:cs="Times New Roman"/>
                <w:color w:val="auto"/>
              </w:rPr>
              <w:t>变更前信息</w:t>
            </w:r>
          </w:p>
        </w:tc>
        <w:tc>
          <w:tcPr>
            <w:tcW w:w="6520" w:type="dxa"/>
            <w:gridSpan w:val="3"/>
            <w:shd w:val="clear" w:color="auto" w:fill="auto"/>
            <w:vAlign w:val="center"/>
          </w:tcPr>
          <w:p>
            <w:pPr>
              <w:pStyle w:val="36"/>
              <w:jc w:val="center"/>
              <w:rPr>
                <w:rFonts w:ascii="Times New Roman" w:hAnsi="Times New Roman" w:cs="Times New Roman"/>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52" w:hRule="atLeast"/>
        </w:trPr>
        <w:tc>
          <w:tcPr>
            <w:tcW w:w="1985" w:type="dxa"/>
            <w:gridSpan w:val="2"/>
            <w:shd w:val="clear" w:color="auto" w:fill="auto"/>
            <w:vAlign w:val="center"/>
          </w:tcPr>
          <w:p>
            <w:pPr>
              <w:pStyle w:val="36"/>
              <w:jc w:val="center"/>
              <w:rPr>
                <w:rFonts w:ascii="Times New Roman" w:hAnsi="Times New Roman" w:cs="Times New Roman"/>
                <w:color w:val="auto"/>
              </w:rPr>
            </w:pPr>
            <w:r>
              <w:rPr>
                <w:rFonts w:hint="eastAsia" w:ascii="Times New Roman" w:hAnsi="Times New Roman" w:cs="Times New Roman"/>
                <w:color w:val="auto"/>
              </w:rPr>
              <w:t>变更后信息</w:t>
            </w:r>
          </w:p>
        </w:tc>
        <w:tc>
          <w:tcPr>
            <w:tcW w:w="6520" w:type="dxa"/>
            <w:gridSpan w:val="3"/>
            <w:shd w:val="clear" w:color="auto" w:fill="auto"/>
            <w:vAlign w:val="center"/>
          </w:tcPr>
          <w:p>
            <w:pPr>
              <w:pStyle w:val="36"/>
              <w:jc w:val="center"/>
              <w:rPr>
                <w:rFonts w:ascii="Times New Roman" w:hAnsi="Times New Roman" w:cs="Times New Roman"/>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57" w:hRule="atLeast"/>
        </w:trPr>
        <w:tc>
          <w:tcPr>
            <w:tcW w:w="8505" w:type="dxa"/>
            <w:gridSpan w:val="5"/>
            <w:shd w:val="clear" w:color="auto" w:fill="auto"/>
            <w:vAlign w:val="center"/>
          </w:tcPr>
          <w:p>
            <w:pPr>
              <w:pStyle w:val="36"/>
              <w:jc w:val="center"/>
              <w:rPr>
                <w:rFonts w:ascii="Times New Roman" w:hAnsi="Times New Roman" w:cs="Times New Roman"/>
                <w:b/>
                <w:color w:val="auto"/>
              </w:rPr>
            </w:pPr>
            <w:r>
              <w:rPr>
                <w:rFonts w:hint="eastAsia" w:ascii="Times New Roman" w:hAnsi="Times New Roman" w:cs="Times New Roman"/>
                <w:b/>
                <w:color w:val="auto"/>
              </w:rPr>
              <w:t>变更情况说明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132" w:hRule="atLeast"/>
        </w:trPr>
        <w:tc>
          <w:tcPr>
            <w:tcW w:w="8505" w:type="dxa"/>
            <w:gridSpan w:val="5"/>
            <w:shd w:val="clear" w:color="auto" w:fill="auto"/>
            <w:vAlign w:val="center"/>
          </w:tcPr>
          <w:p>
            <w:pPr>
              <w:pStyle w:val="36"/>
              <w:jc w:val="both"/>
              <w:rPr>
                <w:rFonts w:ascii="Times New Roman" w:hAnsi="Times New Roman" w:cs="Times New Roman"/>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65" w:hRule="atLeast"/>
        </w:trPr>
        <w:tc>
          <w:tcPr>
            <w:tcW w:w="8505" w:type="dxa"/>
            <w:gridSpan w:val="5"/>
            <w:shd w:val="clear" w:color="auto" w:fill="auto"/>
            <w:vAlign w:val="center"/>
          </w:tcPr>
          <w:p>
            <w:pPr>
              <w:pStyle w:val="36"/>
              <w:jc w:val="both"/>
              <w:rPr>
                <w:rFonts w:ascii="Times New Roman" w:hAnsi="Times New Roman" w:cs="Times New Roman"/>
                <w:color w:val="auto"/>
              </w:rPr>
            </w:pPr>
            <w:r>
              <w:rPr>
                <w:rFonts w:hint="eastAsia" w:ascii="Times New Roman" w:hAnsi="Times New Roman" w:cs="Times New Roman"/>
                <w:color w:val="auto"/>
              </w:rPr>
              <w:t>报备机构承诺事项：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15" w:hRule="atLeast"/>
        </w:trPr>
        <w:tc>
          <w:tcPr>
            <w:tcW w:w="8505" w:type="dxa"/>
            <w:gridSpan w:val="5"/>
            <w:shd w:val="clear" w:color="auto" w:fill="auto"/>
          </w:tcPr>
          <w:p>
            <w:pPr>
              <w:pStyle w:val="36"/>
              <w:jc w:val="both"/>
              <w:rPr>
                <w:rFonts w:hAnsi="仿宋" w:cs="Times New Roman"/>
                <w:color w:val="auto"/>
              </w:rPr>
            </w:pPr>
            <w:r>
              <w:rPr>
                <w:rFonts w:hAnsi="仿宋" w:cs="Times New Roman"/>
                <w:color w:val="auto"/>
              </w:rPr>
              <w:t>1．</w:t>
            </w:r>
            <w:r>
              <w:rPr>
                <w:rFonts w:hint="eastAsia" w:hAnsi="仿宋" w:cs="Times New Roman"/>
                <w:color w:val="auto"/>
              </w:rPr>
              <w:t>本机构</w:t>
            </w:r>
            <w:r>
              <w:rPr>
                <w:rFonts w:hAnsi="仿宋" w:cs="Times New Roman"/>
                <w:color w:val="auto"/>
              </w:rPr>
              <w:t>保证提供的所有资料真实、完整、准确；</w:t>
            </w:r>
          </w:p>
          <w:p>
            <w:pPr>
              <w:pStyle w:val="36"/>
              <w:jc w:val="both"/>
              <w:rPr>
                <w:rFonts w:hAnsi="仿宋" w:cs="Times New Roman"/>
                <w:color w:val="auto"/>
              </w:rPr>
            </w:pPr>
            <w:r>
              <w:rPr>
                <w:rFonts w:hAnsi="仿宋" w:cs="Times New Roman"/>
                <w:color w:val="auto"/>
              </w:rPr>
              <w:t>2．有违反贵公司有关</w:t>
            </w:r>
            <w:r>
              <w:rPr>
                <w:rFonts w:hint="eastAsia" w:hAnsi="仿宋" w:cs="Times New Roman"/>
                <w:color w:val="auto"/>
              </w:rPr>
              <w:t>大宗商品现货清算业务规定的，本机构将承担由此引起的一切后果及法律责任。</w:t>
            </w:r>
          </w:p>
          <w:p>
            <w:pPr>
              <w:pStyle w:val="36"/>
              <w:jc w:val="both"/>
              <w:rPr>
                <w:rFonts w:hAnsi="仿宋" w:cs="Times New Roman"/>
                <w:color w:val="auto"/>
              </w:rPr>
            </w:pPr>
          </w:p>
          <w:p>
            <w:pPr>
              <w:pStyle w:val="36"/>
              <w:jc w:val="both"/>
              <w:rPr>
                <w:rFonts w:hAnsi="仿宋" w:cs="Times New Roman"/>
                <w:color w:val="auto"/>
              </w:rPr>
            </w:pPr>
            <w:r>
              <w:rPr>
                <w:rFonts w:hAnsi="仿宋" w:cs="Times New Roman"/>
                <w:color w:val="auto"/>
              </w:rPr>
              <w:t xml:space="preserve">    </w:t>
            </w:r>
          </w:p>
          <w:p>
            <w:pPr>
              <w:spacing w:line="240" w:lineRule="exact"/>
              <w:ind w:firstLine="4680" w:firstLineChars="1950"/>
              <w:contextualSpacing/>
              <w:rPr>
                <w:rFonts w:ascii="仿宋" w:hAnsi="仿宋" w:eastAsia="仿宋"/>
                <w:sz w:val="24"/>
                <w:szCs w:val="24"/>
              </w:rPr>
            </w:pPr>
          </w:p>
          <w:p>
            <w:pPr>
              <w:spacing w:line="240" w:lineRule="exact"/>
              <w:ind w:firstLine="4680" w:firstLineChars="1950"/>
              <w:contextualSpacing/>
              <w:rPr>
                <w:rFonts w:ascii="仿宋" w:hAnsi="仿宋" w:eastAsia="仿宋"/>
                <w:sz w:val="24"/>
                <w:szCs w:val="24"/>
              </w:rPr>
            </w:pPr>
          </w:p>
          <w:p>
            <w:pPr>
              <w:spacing w:line="240" w:lineRule="exact"/>
              <w:ind w:firstLine="4680" w:firstLineChars="1950"/>
              <w:contextualSpacing/>
              <w:rPr>
                <w:rFonts w:ascii="仿宋" w:hAnsi="仿宋" w:eastAsia="仿宋"/>
                <w:sz w:val="24"/>
                <w:szCs w:val="24"/>
              </w:rPr>
            </w:pPr>
          </w:p>
          <w:p>
            <w:pPr>
              <w:spacing w:line="240" w:lineRule="exact"/>
              <w:ind w:firstLine="4680" w:firstLineChars="1950"/>
              <w:contextualSpacing/>
              <w:rPr>
                <w:rFonts w:ascii="仿宋" w:hAnsi="仿宋" w:eastAsia="仿宋"/>
                <w:sz w:val="24"/>
                <w:szCs w:val="24"/>
              </w:rPr>
            </w:pPr>
          </w:p>
          <w:p>
            <w:pPr>
              <w:spacing w:line="240" w:lineRule="exact"/>
              <w:ind w:firstLine="4680" w:firstLineChars="1950"/>
              <w:contextualSpacing/>
              <w:rPr>
                <w:rFonts w:ascii="仿宋" w:hAnsi="仿宋" w:eastAsia="仿宋"/>
                <w:sz w:val="24"/>
                <w:szCs w:val="24"/>
              </w:rPr>
            </w:pPr>
            <w:r>
              <w:rPr>
                <w:rFonts w:hint="eastAsia" w:ascii="仿宋" w:hAnsi="仿宋" w:eastAsia="仿宋"/>
                <w:sz w:val="24"/>
                <w:szCs w:val="24"/>
              </w:rPr>
              <w:t>单位公章（或预留印鉴章）：</w:t>
            </w:r>
          </w:p>
          <w:p>
            <w:pPr>
              <w:pStyle w:val="36"/>
              <w:ind w:left="6086" w:leftChars="2784" w:hanging="240" w:hangingChars="100"/>
              <w:jc w:val="both"/>
              <w:rPr>
                <w:rFonts w:hAnsi="仿宋" w:cs="Times New Roman"/>
                <w:color w:val="auto"/>
              </w:rPr>
            </w:pPr>
            <w:r>
              <w:rPr>
                <w:rFonts w:hAnsi="仿宋"/>
              </w:rPr>
              <w:t xml:space="preserve">                                                                                                                   年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63" w:hRule="atLeast"/>
        </w:trPr>
        <w:tc>
          <w:tcPr>
            <w:tcW w:w="1701" w:type="dxa"/>
            <w:tcBorders>
              <w:bottom w:val="single" w:color="000000" w:sz="8" w:space="0"/>
            </w:tcBorders>
            <w:shd w:val="clear" w:color="auto" w:fill="auto"/>
            <w:vAlign w:val="center"/>
          </w:tcPr>
          <w:p>
            <w:pPr>
              <w:pStyle w:val="36"/>
              <w:jc w:val="both"/>
              <w:rPr>
                <w:rFonts w:ascii="Times New Roman" w:hAnsi="Times New Roman" w:cs="Times New Roman"/>
                <w:color w:val="auto"/>
              </w:rPr>
            </w:pPr>
            <w:r>
              <w:rPr>
                <w:rFonts w:hint="eastAsia" w:ascii="Times New Roman" w:hAnsi="Times New Roman" w:cs="Times New Roman"/>
                <w:color w:val="auto"/>
              </w:rPr>
              <w:t>经办人</w:t>
            </w:r>
          </w:p>
        </w:tc>
        <w:tc>
          <w:tcPr>
            <w:tcW w:w="2410" w:type="dxa"/>
            <w:gridSpan w:val="2"/>
            <w:tcBorders>
              <w:bottom w:val="single" w:color="000000" w:sz="8" w:space="0"/>
            </w:tcBorders>
            <w:shd w:val="clear" w:color="auto" w:fill="auto"/>
            <w:vAlign w:val="center"/>
          </w:tcPr>
          <w:p>
            <w:pPr>
              <w:pStyle w:val="36"/>
              <w:ind w:firstLine="460"/>
              <w:jc w:val="both"/>
              <w:rPr>
                <w:rFonts w:ascii="Times New Roman" w:hAnsi="Times New Roman" w:cs="Times New Roman"/>
                <w:color w:val="auto"/>
              </w:rPr>
            </w:pPr>
          </w:p>
        </w:tc>
        <w:tc>
          <w:tcPr>
            <w:tcW w:w="2410" w:type="dxa"/>
            <w:tcBorders>
              <w:bottom w:val="single" w:color="000000" w:sz="8" w:space="0"/>
            </w:tcBorders>
            <w:shd w:val="clear" w:color="auto" w:fill="auto"/>
            <w:vAlign w:val="center"/>
          </w:tcPr>
          <w:p>
            <w:pPr>
              <w:pStyle w:val="36"/>
              <w:jc w:val="both"/>
              <w:rPr>
                <w:rFonts w:ascii="Times New Roman" w:hAnsi="Times New Roman" w:cs="Times New Roman"/>
                <w:color w:val="auto"/>
              </w:rPr>
            </w:pPr>
            <w:r>
              <w:rPr>
                <w:rFonts w:hint="eastAsia" w:ascii="Times New Roman" w:hAnsi="Times New Roman" w:cs="Times New Roman"/>
                <w:color w:val="auto"/>
              </w:rPr>
              <w:t>联系电话</w:t>
            </w:r>
          </w:p>
        </w:tc>
        <w:tc>
          <w:tcPr>
            <w:tcW w:w="1984" w:type="dxa"/>
            <w:tcBorders>
              <w:bottom w:val="single" w:color="000000" w:sz="8" w:space="0"/>
            </w:tcBorders>
            <w:shd w:val="clear" w:color="auto" w:fill="auto"/>
            <w:vAlign w:val="center"/>
          </w:tcPr>
          <w:p>
            <w:pPr>
              <w:pStyle w:val="36"/>
              <w:jc w:val="both"/>
              <w:rPr>
                <w:rFonts w:ascii="Times New Roman" w:hAnsi="Times New Roman" w:cs="Times New Roman"/>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63" w:hRule="atLeast"/>
        </w:trPr>
        <w:tc>
          <w:tcPr>
            <w:tcW w:w="8505" w:type="dxa"/>
            <w:gridSpan w:val="5"/>
            <w:tcBorders>
              <w:bottom w:val="single" w:color="auto" w:sz="4" w:space="0"/>
            </w:tcBorders>
            <w:shd w:val="clear" w:color="auto" w:fill="auto"/>
            <w:vAlign w:val="center"/>
          </w:tcPr>
          <w:p>
            <w:pPr>
              <w:pStyle w:val="36"/>
              <w:jc w:val="both"/>
              <w:rPr>
                <w:rFonts w:ascii="Times New Roman" w:hAnsi="Times New Roman" w:cs="Times New Roman"/>
                <w:color w:val="auto"/>
              </w:rPr>
            </w:pPr>
            <w:r>
              <w:rPr>
                <w:rFonts w:hint="eastAsia" w:ascii="Times New Roman" w:hAnsi="Times New Roman" w:cs="Times New Roman"/>
                <w:color w:val="auto"/>
              </w:rPr>
              <w:t>注</w:t>
            </w:r>
            <w:r>
              <w:rPr>
                <w:rFonts w:ascii="Times New Roman" w:hAnsi="Times New Roman" w:cs="Times New Roman"/>
                <w:color w:val="auto"/>
              </w:rPr>
              <w:t>：</w:t>
            </w:r>
            <w:r>
              <w:rPr>
                <w:rFonts w:hint="eastAsia" w:ascii="Times New Roman" w:hAnsi="Times New Roman" w:cs="Times New Roman"/>
                <w:color w:val="auto"/>
              </w:rPr>
              <w:t>交易商发生信息变更的，由其现货平台向上海清算所提交信息</w:t>
            </w:r>
            <w:r>
              <w:rPr>
                <w:rFonts w:ascii="Times New Roman" w:hAnsi="Times New Roman" w:cs="Times New Roman"/>
                <w:color w:val="auto"/>
              </w:rPr>
              <w:t>变更</w:t>
            </w:r>
            <w:r>
              <w:rPr>
                <w:rFonts w:hint="eastAsia" w:ascii="Times New Roman" w:hAnsi="Times New Roman" w:cs="Times New Roman"/>
                <w:color w:val="auto"/>
              </w:rPr>
              <w:t>报备</w:t>
            </w:r>
            <w:r>
              <w:rPr>
                <w:rFonts w:ascii="Times New Roman" w:hAnsi="Times New Roman" w:cs="Times New Roman"/>
                <w:color w:val="auto"/>
              </w:rPr>
              <w:t>单，</w:t>
            </w:r>
            <w:r>
              <w:rPr>
                <w:rFonts w:hint="eastAsia" w:ascii="Times New Roman" w:hAnsi="Times New Roman" w:cs="Times New Roman"/>
                <w:color w:val="auto"/>
              </w:rPr>
              <w:t>需同时加盖交易商公章、现货平台公章或预留印鉴章。现货</w:t>
            </w:r>
            <w:r>
              <w:rPr>
                <w:rFonts w:ascii="Times New Roman" w:hAnsi="Times New Roman" w:cs="Times New Roman"/>
                <w:color w:val="auto"/>
              </w:rPr>
              <w:t>平台发生信息变更的，</w:t>
            </w:r>
            <w:r>
              <w:rPr>
                <w:rFonts w:hint="eastAsia" w:ascii="Times New Roman" w:hAnsi="Times New Roman" w:cs="Times New Roman"/>
                <w:color w:val="auto"/>
              </w:rPr>
              <w:t>加盖</w:t>
            </w:r>
            <w:r>
              <w:rPr>
                <w:rFonts w:ascii="Times New Roman" w:hAnsi="Times New Roman" w:cs="Times New Roman"/>
                <w:color w:val="auto"/>
              </w:rPr>
              <w:t>现货平台公章或预留印鉴章。现货</w:t>
            </w:r>
            <w:r>
              <w:rPr>
                <w:rFonts w:hint="eastAsia" w:ascii="Times New Roman" w:hAnsi="Times New Roman" w:cs="Times New Roman"/>
                <w:color w:val="auto"/>
              </w:rPr>
              <w:t>清算成员</w:t>
            </w:r>
            <w:r>
              <w:rPr>
                <w:rFonts w:ascii="Times New Roman" w:hAnsi="Times New Roman" w:cs="Times New Roman"/>
                <w:color w:val="auto"/>
              </w:rPr>
              <w:t>发生信息变更的，加盖现货清算成员公章或预留印鉴章。</w:t>
            </w:r>
          </w:p>
        </w:tc>
      </w:tr>
    </w:tbl>
    <w:p>
      <w:pPr>
        <w:widowControl/>
        <w:spacing w:line="580" w:lineRule="exact"/>
        <w:jc w:val="left"/>
        <w:rPr>
          <w:rFonts w:ascii="黑体" w:hAnsi="宋体" w:eastAsia="黑体"/>
          <w:sz w:val="32"/>
          <w:szCs w:val="32"/>
          <w:lang w:bidi="ar"/>
        </w:rPr>
      </w:pPr>
      <w:r>
        <w:rPr>
          <w:rFonts w:hint="eastAsia" w:ascii="黑体" w:hAnsi="宋体" w:eastAsia="黑体"/>
          <w:sz w:val="32"/>
          <w:szCs w:val="32"/>
          <w:lang w:bidi="ar"/>
        </w:rPr>
        <w:t>附4</w:t>
      </w:r>
    </w:p>
    <w:p>
      <w:pPr>
        <w:spacing w:line="360" w:lineRule="auto"/>
        <w:jc w:val="center"/>
        <w:rPr>
          <w:rFonts w:ascii="宋体" w:hAnsi="宋体" w:cs="宋体"/>
          <w:b/>
          <w:sz w:val="44"/>
          <w:szCs w:val="44"/>
          <w:lang w:bidi="ar"/>
        </w:rPr>
      </w:pPr>
      <w:r>
        <w:rPr>
          <w:rFonts w:hint="eastAsia" w:ascii="宋体" w:hAnsi="宋体" w:cs="宋体"/>
          <w:b/>
          <w:sz w:val="44"/>
          <w:szCs w:val="44"/>
          <w:lang w:bidi="ar"/>
        </w:rPr>
        <w:t>银行间市场清算所股份有限公司</w:t>
      </w:r>
    </w:p>
    <w:p>
      <w:pPr>
        <w:spacing w:line="360" w:lineRule="auto"/>
        <w:jc w:val="center"/>
        <w:rPr>
          <w:rFonts w:ascii="宋体" w:hAnsi="宋体" w:cs="宋体"/>
          <w:b/>
          <w:sz w:val="44"/>
          <w:szCs w:val="44"/>
          <w:lang w:bidi="ar"/>
        </w:rPr>
      </w:pPr>
      <w:r>
        <w:rPr>
          <w:rFonts w:hint="eastAsia" w:ascii="宋体" w:hAnsi="宋体" w:cs="宋体"/>
          <w:b/>
          <w:sz w:val="44"/>
          <w:szCs w:val="44"/>
          <w:lang w:bidi="ar"/>
        </w:rPr>
        <w:t>大宗商品现货清算业务交易商注销申请表</w:t>
      </w:r>
    </w:p>
    <w:tbl>
      <w:tblPr>
        <w:tblStyle w:val="21"/>
        <w:tblW w:w="921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4"/>
        <w:gridCol w:w="560"/>
        <w:gridCol w:w="1848"/>
        <w:gridCol w:w="873"/>
        <w:gridCol w:w="2266"/>
        <w:gridCol w:w="1534"/>
        <w:gridCol w:w="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jc w:val="center"/>
        </w:trPr>
        <w:tc>
          <w:tcPr>
            <w:tcW w:w="9215"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jc w:val="center"/>
              <w:rPr>
                <w:rFonts w:ascii="Times New Roman" w:hAnsi="Times New Roman" w:cs="Times New Roman"/>
                <w:b/>
                <w:color w:val="auto"/>
              </w:rPr>
            </w:pPr>
            <w:r>
              <w:rPr>
                <w:rFonts w:hint="eastAsia" w:ascii="Times New Roman" w:hAnsi="Times New Roman" w:cs="Times New Roman"/>
                <w:b/>
                <w:color w:val="auto"/>
              </w:rPr>
              <w:t>申请机构信息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403" w:hRule="atLeast"/>
          <w:jc w:val="center"/>
        </w:trPr>
        <w:tc>
          <w:tcPr>
            <w:tcW w:w="2684" w:type="dxa"/>
            <w:gridSpan w:val="2"/>
            <w:tcBorders>
              <w:top w:val="single" w:color="000000" w:sz="8" w:space="0"/>
              <w:left w:val="single" w:color="000000" w:sz="8" w:space="0"/>
              <w:bottom w:val="single" w:color="000000" w:sz="8" w:space="0"/>
              <w:right w:val="single" w:color="000000" w:sz="8" w:space="0"/>
            </w:tcBorders>
            <w:vAlign w:val="center"/>
          </w:tcPr>
          <w:p>
            <w:pPr>
              <w:pStyle w:val="36"/>
              <w:jc w:val="center"/>
              <w:rPr>
                <w:rFonts w:ascii="Times New Roman" w:hAnsi="Times New Roman" w:cs="Times New Roman"/>
                <w:color w:val="auto"/>
              </w:rPr>
            </w:pPr>
            <w:r>
              <w:rPr>
                <w:rFonts w:hint="eastAsia" w:ascii="Times New Roman" w:hAnsi="Times New Roman" w:cs="Times New Roman"/>
                <w:color w:val="auto"/>
              </w:rPr>
              <w:t>机构名称</w:t>
            </w:r>
          </w:p>
        </w:tc>
        <w:tc>
          <w:tcPr>
            <w:tcW w:w="2721" w:type="dxa"/>
            <w:gridSpan w:val="2"/>
            <w:tcBorders>
              <w:top w:val="single" w:color="000000" w:sz="8" w:space="0"/>
              <w:left w:val="single" w:color="000000" w:sz="8" w:space="0"/>
              <w:bottom w:val="single" w:color="000000" w:sz="8" w:space="0"/>
              <w:right w:val="single" w:color="000000" w:sz="8" w:space="0"/>
            </w:tcBorders>
            <w:vAlign w:val="center"/>
          </w:tcPr>
          <w:p>
            <w:pPr>
              <w:pStyle w:val="36"/>
              <w:ind w:firstLine="422"/>
              <w:jc w:val="both"/>
              <w:rPr>
                <w:rFonts w:ascii="Times New Roman" w:hAnsi="Times New Roman" w:cs="Times New Roman"/>
                <w:color w:val="auto"/>
              </w:rPr>
            </w:pPr>
          </w:p>
        </w:tc>
        <w:tc>
          <w:tcPr>
            <w:tcW w:w="2266" w:type="dxa"/>
            <w:tcBorders>
              <w:top w:val="single" w:color="000000" w:sz="8" w:space="0"/>
              <w:left w:val="single" w:color="000000" w:sz="8" w:space="0"/>
              <w:bottom w:val="single" w:color="000000" w:sz="8" w:space="0"/>
              <w:right w:val="single" w:color="000000" w:sz="8" w:space="0"/>
            </w:tcBorders>
            <w:vAlign w:val="center"/>
          </w:tcPr>
          <w:p>
            <w:pPr>
              <w:pStyle w:val="36"/>
              <w:jc w:val="center"/>
              <w:rPr>
                <w:rFonts w:ascii="Times New Roman" w:hAnsi="Times New Roman" w:cs="Times New Roman"/>
                <w:color w:val="auto"/>
              </w:rPr>
            </w:pPr>
            <w:r>
              <w:rPr>
                <w:rFonts w:hint="eastAsia" w:ascii="Times New Roman" w:hAnsi="Times New Roman" w:cs="Times New Roman"/>
                <w:color w:val="auto"/>
              </w:rPr>
              <w:t>交易商编码</w:t>
            </w:r>
          </w:p>
        </w:tc>
        <w:tc>
          <w:tcPr>
            <w:tcW w:w="1534" w:type="dxa"/>
            <w:tcBorders>
              <w:top w:val="single" w:color="000000" w:sz="8" w:space="0"/>
              <w:left w:val="single" w:color="000000" w:sz="8" w:space="0"/>
              <w:bottom w:val="single" w:color="000000" w:sz="8" w:space="0"/>
              <w:right w:val="single" w:color="000000" w:sz="8" w:space="0"/>
            </w:tcBorders>
            <w:vAlign w:val="center"/>
          </w:tcPr>
          <w:p>
            <w:pPr>
              <w:pStyle w:val="36"/>
              <w:ind w:firstLine="422"/>
              <w:jc w:val="both"/>
              <w:rPr>
                <w:rFonts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403" w:hRule="atLeast"/>
          <w:jc w:val="center"/>
        </w:trPr>
        <w:tc>
          <w:tcPr>
            <w:tcW w:w="2684" w:type="dxa"/>
            <w:gridSpan w:val="2"/>
            <w:tcBorders>
              <w:top w:val="single" w:color="000000" w:sz="8" w:space="0"/>
              <w:left w:val="single" w:color="000000" w:sz="8" w:space="0"/>
              <w:bottom w:val="single" w:color="000000" w:sz="8" w:space="0"/>
              <w:right w:val="single" w:color="000000" w:sz="8" w:space="0"/>
            </w:tcBorders>
            <w:vAlign w:val="center"/>
          </w:tcPr>
          <w:p>
            <w:pPr>
              <w:pStyle w:val="36"/>
              <w:jc w:val="center"/>
              <w:rPr>
                <w:rFonts w:ascii="Times New Roman" w:hAnsi="Times New Roman" w:cs="Times New Roman"/>
                <w:color w:val="auto"/>
              </w:rPr>
            </w:pPr>
            <w:r>
              <w:rPr>
                <w:rFonts w:hint="eastAsia" w:ascii="Times New Roman" w:hAnsi="Times New Roman" w:cs="Times New Roman"/>
                <w:color w:val="auto"/>
              </w:rPr>
              <w:t>现货平台名称</w:t>
            </w:r>
          </w:p>
        </w:tc>
        <w:tc>
          <w:tcPr>
            <w:tcW w:w="2721" w:type="dxa"/>
            <w:gridSpan w:val="2"/>
            <w:tcBorders>
              <w:top w:val="single" w:color="000000" w:sz="8" w:space="0"/>
              <w:left w:val="single" w:color="000000" w:sz="8" w:space="0"/>
              <w:bottom w:val="single" w:color="000000" w:sz="8" w:space="0"/>
              <w:right w:val="single" w:color="000000" w:sz="8" w:space="0"/>
            </w:tcBorders>
            <w:vAlign w:val="center"/>
          </w:tcPr>
          <w:p>
            <w:pPr>
              <w:pStyle w:val="36"/>
              <w:ind w:firstLine="422"/>
              <w:jc w:val="both"/>
              <w:rPr>
                <w:rFonts w:ascii="Times New Roman" w:hAnsi="Times New Roman" w:cs="Times New Roman"/>
                <w:color w:val="auto"/>
              </w:rPr>
            </w:pPr>
          </w:p>
        </w:tc>
        <w:tc>
          <w:tcPr>
            <w:tcW w:w="2266" w:type="dxa"/>
            <w:tcBorders>
              <w:top w:val="single" w:color="000000" w:sz="8" w:space="0"/>
              <w:left w:val="single" w:color="000000" w:sz="8" w:space="0"/>
              <w:bottom w:val="single" w:color="000000" w:sz="8" w:space="0"/>
              <w:right w:val="single" w:color="000000" w:sz="8" w:space="0"/>
            </w:tcBorders>
            <w:vAlign w:val="center"/>
          </w:tcPr>
          <w:p>
            <w:pPr>
              <w:pStyle w:val="36"/>
              <w:jc w:val="center"/>
              <w:rPr>
                <w:rFonts w:ascii="Times New Roman" w:hAnsi="Times New Roman" w:cs="Times New Roman"/>
                <w:color w:val="auto"/>
              </w:rPr>
            </w:pPr>
            <w:r>
              <w:rPr>
                <w:rFonts w:hint="eastAsia" w:ascii="Times New Roman" w:hAnsi="Times New Roman" w:cs="Times New Roman"/>
                <w:color w:val="auto"/>
              </w:rPr>
              <w:t>现货平台编码</w:t>
            </w:r>
          </w:p>
        </w:tc>
        <w:tc>
          <w:tcPr>
            <w:tcW w:w="1534" w:type="dxa"/>
            <w:tcBorders>
              <w:top w:val="single" w:color="000000" w:sz="8" w:space="0"/>
              <w:left w:val="single" w:color="000000" w:sz="8" w:space="0"/>
              <w:bottom w:val="single" w:color="000000" w:sz="8" w:space="0"/>
              <w:right w:val="single" w:color="000000" w:sz="8" w:space="0"/>
            </w:tcBorders>
            <w:vAlign w:val="center"/>
          </w:tcPr>
          <w:p>
            <w:pPr>
              <w:pStyle w:val="36"/>
              <w:ind w:firstLine="422"/>
              <w:jc w:val="both"/>
              <w:rPr>
                <w:rFonts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403" w:hRule="atLeast"/>
          <w:jc w:val="center"/>
        </w:trPr>
        <w:tc>
          <w:tcPr>
            <w:tcW w:w="2684" w:type="dxa"/>
            <w:gridSpan w:val="2"/>
            <w:tcBorders>
              <w:top w:val="single" w:color="000000" w:sz="8" w:space="0"/>
              <w:left w:val="single" w:color="000000" w:sz="8" w:space="0"/>
              <w:bottom w:val="single" w:color="000000" w:sz="8" w:space="0"/>
              <w:right w:val="single" w:color="000000" w:sz="8" w:space="0"/>
            </w:tcBorders>
            <w:vAlign w:val="center"/>
          </w:tcPr>
          <w:p>
            <w:pPr>
              <w:pStyle w:val="36"/>
              <w:jc w:val="center"/>
              <w:rPr>
                <w:rFonts w:ascii="Times New Roman" w:hAnsi="Times New Roman" w:cs="Times New Roman"/>
                <w:color w:val="auto"/>
              </w:rPr>
            </w:pPr>
            <w:r>
              <w:rPr>
                <w:rFonts w:hint="eastAsia" w:ascii="Times New Roman" w:hAnsi="Times New Roman" w:cs="Times New Roman"/>
                <w:color w:val="auto"/>
              </w:rPr>
              <w:t>已绑定的现货清算成员</w:t>
            </w:r>
            <w:r>
              <w:rPr>
                <w:rFonts w:ascii="Times New Roman" w:hAnsi="Times New Roman" w:cs="Times New Roman"/>
                <w:color w:val="auto"/>
              </w:rPr>
              <w:t>名称</w:t>
            </w:r>
            <w:r>
              <w:rPr>
                <w:rFonts w:hint="eastAsia" w:ascii="Times New Roman" w:hAnsi="Times New Roman" w:cs="Times New Roman"/>
                <w:color w:val="auto"/>
              </w:rPr>
              <w:t>/编码</w:t>
            </w:r>
          </w:p>
        </w:tc>
        <w:tc>
          <w:tcPr>
            <w:tcW w:w="6521" w:type="dxa"/>
            <w:gridSpan w:val="4"/>
            <w:tcBorders>
              <w:top w:val="single" w:color="000000" w:sz="8" w:space="0"/>
              <w:left w:val="single" w:color="000000" w:sz="8" w:space="0"/>
              <w:bottom w:val="single" w:color="000000" w:sz="8" w:space="0"/>
              <w:right w:val="single" w:color="000000" w:sz="8" w:space="0"/>
            </w:tcBorders>
            <w:vAlign w:val="center"/>
          </w:tcPr>
          <w:p>
            <w:pPr>
              <w:pStyle w:val="36"/>
              <w:ind w:firstLine="422"/>
              <w:jc w:val="both"/>
              <w:rPr>
                <w:rFonts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403" w:hRule="atLeast"/>
          <w:jc w:val="center"/>
        </w:trPr>
        <w:tc>
          <w:tcPr>
            <w:tcW w:w="2684" w:type="dxa"/>
            <w:gridSpan w:val="2"/>
            <w:tcBorders>
              <w:top w:val="single" w:color="000000" w:sz="8" w:space="0"/>
              <w:left w:val="single" w:color="000000" w:sz="8" w:space="0"/>
              <w:bottom w:val="single" w:color="000000" w:sz="8" w:space="0"/>
              <w:right w:val="single" w:color="000000" w:sz="8" w:space="0"/>
            </w:tcBorders>
            <w:vAlign w:val="center"/>
          </w:tcPr>
          <w:p>
            <w:pPr>
              <w:pStyle w:val="36"/>
              <w:jc w:val="center"/>
              <w:rPr>
                <w:rFonts w:ascii="Times New Roman" w:hAnsi="Times New Roman" w:cs="Times New Roman"/>
                <w:color w:val="auto"/>
              </w:rPr>
            </w:pPr>
            <w:r>
              <w:rPr>
                <w:rFonts w:hint="eastAsia" w:ascii="Times New Roman" w:hAnsi="Times New Roman" w:cs="Times New Roman"/>
                <w:color w:val="auto"/>
              </w:rPr>
              <w:t>批准时间</w:t>
            </w:r>
          </w:p>
        </w:tc>
        <w:tc>
          <w:tcPr>
            <w:tcW w:w="6521" w:type="dxa"/>
            <w:gridSpan w:val="4"/>
            <w:tcBorders>
              <w:top w:val="single" w:color="000000" w:sz="8" w:space="0"/>
              <w:left w:val="single" w:color="000000" w:sz="8" w:space="0"/>
              <w:bottom w:val="single" w:color="000000" w:sz="8" w:space="0"/>
              <w:right w:val="single" w:color="000000" w:sz="8" w:space="0"/>
            </w:tcBorders>
            <w:vAlign w:val="center"/>
          </w:tcPr>
          <w:p>
            <w:pPr>
              <w:pStyle w:val="36"/>
              <w:ind w:firstLine="422"/>
              <w:jc w:val="both"/>
              <w:rPr>
                <w:rFonts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9215" w:type="dxa"/>
            <w:gridSpan w:val="7"/>
            <w:tcBorders>
              <w:top w:val="single" w:color="000000" w:sz="8" w:space="0"/>
              <w:left w:val="single" w:color="000000" w:sz="8" w:space="0"/>
              <w:bottom w:val="single" w:color="000000" w:sz="8" w:space="0"/>
              <w:right w:val="single" w:color="000000" w:sz="8" w:space="0"/>
            </w:tcBorders>
            <w:vAlign w:val="center"/>
          </w:tcPr>
          <w:p>
            <w:pPr>
              <w:pStyle w:val="36"/>
              <w:jc w:val="center"/>
              <w:rPr>
                <w:rFonts w:ascii="Times New Roman" w:hAnsi="Times New Roman" w:cs="Times New Roman"/>
                <w:color w:val="auto"/>
              </w:rPr>
            </w:pPr>
            <w:r>
              <w:rPr>
                <w:rFonts w:hint="eastAsia" w:ascii="Times New Roman" w:hAnsi="Times New Roman" w:cs="Times New Roman"/>
                <w:b/>
                <w:color w:val="auto"/>
              </w:rPr>
              <w:t>终止原因说明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3202" w:hRule="atLeast"/>
          <w:jc w:val="center"/>
        </w:trPr>
        <w:tc>
          <w:tcPr>
            <w:tcW w:w="9205" w:type="dxa"/>
            <w:gridSpan w:val="6"/>
            <w:tcBorders>
              <w:top w:val="single" w:color="000000" w:sz="8" w:space="0"/>
              <w:left w:val="single" w:color="000000" w:sz="8" w:space="0"/>
              <w:bottom w:val="single" w:color="000000" w:sz="8" w:space="0"/>
              <w:right w:val="single" w:color="000000" w:sz="8" w:space="0"/>
            </w:tcBorders>
            <w:vAlign w:val="center"/>
          </w:tcPr>
          <w:p>
            <w:pPr>
              <w:pStyle w:val="36"/>
              <w:ind w:firstLine="420"/>
              <w:jc w:val="both"/>
              <w:rPr>
                <w:rFonts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9215"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jc w:val="both"/>
              <w:rPr>
                <w:rFonts w:ascii="Times New Roman" w:hAnsi="Times New Roman" w:cs="Times New Roman"/>
                <w:b/>
                <w:color w:val="auto"/>
              </w:rPr>
            </w:pPr>
            <w:r>
              <w:rPr>
                <w:rFonts w:hint="eastAsia" w:ascii="Times New Roman" w:hAnsi="Times New Roman" w:cs="Times New Roman"/>
                <w:b/>
                <w:color w:val="auto"/>
              </w:rPr>
              <w:t>现货平台承诺事项：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1" w:hRule="atLeast"/>
          <w:jc w:val="center"/>
        </w:trPr>
        <w:tc>
          <w:tcPr>
            <w:tcW w:w="9215" w:type="dxa"/>
            <w:gridSpan w:val="7"/>
            <w:tcBorders>
              <w:top w:val="single" w:color="000000" w:sz="8" w:space="0"/>
              <w:left w:val="single" w:color="000000" w:sz="8" w:space="0"/>
              <w:bottom w:val="single" w:color="000000" w:sz="8" w:space="0"/>
              <w:right w:val="single" w:color="000000" w:sz="8" w:space="0"/>
            </w:tcBorders>
          </w:tcPr>
          <w:p>
            <w:pPr>
              <w:pStyle w:val="36"/>
              <w:tabs>
                <w:tab w:val="center" w:pos="4153"/>
                <w:tab w:val="right" w:pos="8306"/>
              </w:tabs>
              <w:snapToGrid w:val="0"/>
              <w:jc w:val="both"/>
              <w:rPr>
                <w:rFonts w:hAnsi="仿宋" w:cs="Times New Roman"/>
                <w:color w:val="auto"/>
              </w:rPr>
            </w:pPr>
            <w:r>
              <w:rPr>
                <w:rFonts w:hAnsi="仿宋" w:cs="Times New Roman"/>
                <w:color w:val="auto"/>
              </w:rPr>
              <w:t>1．</w:t>
            </w:r>
            <w:r>
              <w:rPr>
                <w:rFonts w:hint="eastAsia" w:hAnsi="仿宋" w:cs="Times New Roman"/>
                <w:color w:val="auto"/>
              </w:rPr>
              <w:t>本机构</w:t>
            </w:r>
            <w:r>
              <w:rPr>
                <w:rFonts w:hAnsi="仿宋" w:cs="Times New Roman"/>
                <w:color w:val="auto"/>
              </w:rPr>
              <w:t>自愿为上述</w:t>
            </w:r>
            <w:r>
              <w:rPr>
                <w:rFonts w:hint="eastAsia" w:hAnsi="仿宋" w:cs="Times New Roman"/>
                <w:color w:val="auto"/>
              </w:rPr>
              <w:t>交易商</w:t>
            </w:r>
            <w:r>
              <w:rPr>
                <w:rFonts w:hAnsi="仿宋" w:cs="Times New Roman"/>
                <w:color w:val="auto"/>
              </w:rPr>
              <w:t>申请其参与银行间市场清算所股份有限公司（以下简称贵公司）大宗商品现货清算业务的资格终止，保证提供的所有资料真实、完整、准确；</w:t>
            </w:r>
          </w:p>
          <w:p>
            <w:pPr>
              <w:pStyle w:val="36"/>
              <w:tabs>
                <w:tab w:val="center" w:pos="4153"/>
                <w:tab w:val="right" w:pos="8306"/>
              </w:tabs>
              <w:snapToGrid w:val="0"/>
              <w:jc w:val="both"/>
              <w:rPr>
                <w:rFonts w:hAnsi="仿宋" w:cs="Times New Roman"/>
                <w:color w:val="auto"/>
              </w:rPr>
            </w:pPr>
            <w:r>
              <w:rPr>
                <w:rFonts w:hAnsi="仿宋" w:cs="Times New Roman"/>
                <w:color w:val="auto"/>
              </w:rPr>
              <w:t>2．有违反贵公司有关</w:t>
            </w:r>
            <w:r>
              <w:rPr>
                <w:rFonts w:hint="eastAsia" w:hAnsi="仿宋"/>
              </w:rPr>
              <w:t>大宗商品现货清算业务</w:t>
            </w:r>
            <w:r>
              <w:rPr>
                <w:rFonts w:hint="eastAsia" w:hAnsi="仿宋" w:cs="Times New Roman"/>
                <w:color w:val="auto"/>
              </w:rPr>
              <w:t>规定的，本机构将承担由此引起的一切后果及法律责任。</w:t>
            </w:r>
          </w:p>
          <w:p>
            <w:pPr>
              <w:pStyle w:val="36"/>
              <w:ind w:firstLine="460"/>
              <w:jc w:val="both"/>
              <w:rPr>
                <w:rFonts w:hAnsi="仿宋" w:cs="Times New Roman"/>
                <w:color w:val="auto"/>
              </w:rPr>
            </w:pPr>
          </w:p>
          <w:p>
            <w:pPr>
              <w:pStyle w:val="36"/>
              <w:ind w:firstLine="460"/>
              <w:jc w:val="both"/>
              <w:rPr>
                <w:rFonts w:hAnsi="仿宋" w:cs="Times New Roman"/>
                <w:color w:val="auto"/>
              </w:rPr>
            </w:pPr>
          </w:p>
          <w:p>
            <w:pPr>
              <w:pStyle w:val="36"/>
              <w:ind w:firstLine="460"/>
              <w:jc w:val="both"/>
              <w:rPr>
                <w:rFonts w:hAnsi="仿宋" w:cs="Times New Roman"/>
                <w:color w:val="auto"/>
              </w:rPr>
            </w:pPr>
          </w:p>
          <w:p>
            <w:pPr>
              <w:pStyle w:val="36"/>
              <w:ind w:firstLine="460"/>
              <w:jc w:val="both"/>
              <w:rPr>
                <w:rFonts w:hAnsi="仿宋" w:cs="Times New Roman"/>
                <w:color w:val="auto"/>
              </w:rPr>
            </w:pPr>
          </w:p>
          <w:p>
            <w:pPr>
              <w:pStyle w:val="36"/>
              <w:jc w:val="both"/>
              <w:rPr>
                <w:rFonts w:hAnsi="仿宋" w:cs="Times New Roman"/>
                <w:color w:val="auto"/>
              </w:rPr>
            </w:pPr>
          </w:p>
          <w:p>
            <w:pPr>
              <w:pStyle w:val="36"/>
              <w:jc w:val="both"/>
              <w:rPr>
                <w:rFonts w:hAnsi="仿宋" w:cs="Times New Roman"/>
                <w:color w:val="auto"/>
              </w:rPr>
            </w:pPr>
          </w:p>
          <w:p>
            <w:pPr>
              <w:pStyle w:val="36"/>
              <w:ind w:firstLine="460"/>
              <w:jc w:val="both"/>
              <w:rPr>
                <w:rFonts w:hAnsi="仿宋" w:cs="Times New Roman"/>
                <w:color w:val="auto"/>
              </w:rPr>
            </w:pPr>
          </w:p>
          <w:p>
            <w:pPr>
              <w:pStyle w:val="36"/>
              <w:ind w:left="4429" w:leftChars="2109" w:firstLine="720" w:firstLineChars="300"/>
              <w:jc w:val="both"/>
              <w:rPr>
                <w:rFonts w:hAnsi="仿宋" w:cs="Times New Roman"/>
                <w:color w:val="auto"/>
              </w:rPr>
            </w:pPr>
            <w:r>
              <w:rPr>
                <w:rFonts w:hint="eastAsia" w:hAnsi="仿宋"/>
              </w:rPr>
              <w:t>现货平台公章（或预留印鉴章）：</w:t>
            </w:r>
          </w:p>
          <w:p>
            <w:pPr>
              <w:pStyle w:val="36"/>
              <w:ind w:left="4429" w:leftChars="2109" w:firstLine="720" w:firstLineChars="300"/>
              <w:jc w:val="both"/>
              <w:rPr>
                <w:rFonts w:hAnsi="仿宋" w:cs="Times New Roman"/>
                <w:color w:val="auto"/>
              </w:rPr>
            </w:pPr>
            <w:r>
              <w:rPr>
                <w:rFonts w:hAnsi="仿宋" w:cs="Times New Roman"/>
                <w:color w:val="auto"/>
              </w:rPr>
              <w:t xml:space="preserve">            </w:t>
            </w:r>
          </w:p>
          <w:p>
            <w:pPr>
              <w:pStyle w:val="36"/>
              <w:ind w:right="480" w:firstLine="6480" w:firstLineChars="2700"/>
              <w:rPr>
                <w:rFonts w:hAnsi="仿宋" w:cs="Times New Roman"/>
                <w:color w:val="auto"/>
              </w:rPr>
            </w:pPr>
            <w:r>
              <w:rPr>
                <w:rFonts w:hAnsi="仿宋"/>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546" w:hRule="atLeast"/>
          <w:jc w:val="center"/>
        </w:trPr>
        <w:tc>
          <w:tcPr>
            <w:tcW w:w="2124" w:type="dxa"/>
            <w:tcBorders>
              <w:top w:val="single" w:color="000000" w:sz="8" w:space="0"/>
              <w:left w:val="single" w:color="000000" w:sz="8" w:space="0"/>
              <w:bottom w:val="single" w:color="000000" w:sz="8" w:space="0"/>
              <w:right w:val="single" w:color="000000" w:sz="8" w:space="0"/>
            </w:tcBorders>
            <w:vAlign w:val="center"/>
          </w:tcPr>
          <w:p>
            <w:pPr>
              <w:pStyle w:val="36"/>
              <w:jc w:val="center"/>
              <w:rPr>
                <w:rFonts w:ascii="Times New Roman" w:hAnsi="Times New Roman" w:cs="Times New Roman"/>
                <w:color w:val="auto"/>
              </w:rPr>
            </w:pPr>
            <w:r>
              <w:rPr>
                <w:rFonts w:hint="eastAsia" w:ascii="Times New Roman" w:hAnsi="Times New Roman" w:cs="Times New Roman"/>
                <w:color w:val="auto"/>
              </w:rPr>
              <w:t>经办人</w:t>
            </w:r>
          </w:p>
        </w:tc>
        <w:tc>
          <w:tcPr>
            <w:tcW w:w="2408" w:type="dxa"/>
            <w:gridSpan w:val="2"/>
            <w:tcBorders>
              <w:top w:val="single" w:color="000000" w:sz="8" w:space="0"/>
              <w:left w:val="single" w:color="000000" w:sz="8" w:space="0"/>
              <w:bottom w:val="single" w:color="000000" w:sz="8" w:space="0"/>
              <w:right w:val="single" w:color="000000" w:sz="8" w:space="0"/>
            </w:tcBorders>
            <w:vAlign w:val="center"/>
          </w:tcPr>
          <w:p>
            <w:pPr>
              <w:pStyle w:val="36"/>
              <w:ind w:firstLine="460"/>
              <w:jc w:val="center"/>
              <w:rPr>
                <w:rFonts w:ascii="Times New Roman" w:hAnsi="Times New Roman" w:cs="Times New Roman"/>
                <w:color w:val="auto"/>
              </w:rPr>
            </w:pPr>
          </w:p>
        </w:tc>
        <w:tc>
          <w:tcPr>
            <w:tcW w:w="3139" w:type="dxa"/>
            <w:gridSpan w:val="2"/>
            <w:tcBorders>
              <w:top w:val="single" w:color="000000" w:sz="8" w:space="0"/>
              <w:left w:val="single" w:color="000000" w:sz="8" w:space="0"/>
              <w:bottom w:val="single" w:color="000000" w:sz="8" w:space="0"/>
              <w:right w:val="single" w:color="000000" w:sz="8" w:space="0"/>
            </w:tcBorders>
            <w:vAlign w:val="center"/>
          </w:tcPr>
          <w:p>
            <w:pPr>
              <w:pStyle w:val="36"/>
              <w:jc w:val="center"/>
              <w:rPr>
                <w:rFonts w:ascii="Times New Roman" w:hAnsi="Times New Roman" w:cs="Times New Roman"/>
                <w:color w:val="auto"/>
              </w:rPr>
            </w:pPr>
            <w:r>
              <w:rPr>
                <w:rFonts w:hint="eastAsia" w:ascii="Times New Roman" w:hAnsi="Times New Roman" w:cs="Times New Roman"/>
                <w:color w:val="auto"/>
              </w:rPr>
              <w:t>联系电话</w:t>
            </w:r>
          </w:p>
        </w:tc>
        <w:tc>
          <w:tcPr>
            <w:tcW w:w="1534" w:type="dxa"/>
            <w:tcBorders>
              <w:top w:val="single" w:color="000000" w:sz="8" w:space="0"/>
              <w:left w:val="single" w:color="000000" w:sz="8" w:space="0"/>
              <w:bottom w:val="single" w:color="000000" w:sz="8" w:space="0"/>
              <w:right w:val="single" w:color="000000" w:sz="8" w:space="0"/>
            </w:tcBorders>
            <w:vAlign w:val="center"/>
          </w:tcPr>
          <w:p>
            <w:pPr>
              <w:pStyle w:val="36"/>
              <w:ind w:firstLine="460"/>
              <w:jc w:val="center"/>
              <w:rPr>
                <w:rFonts w:ascii="Times New Roman" w:hAnsi="Times New Roman" w:cs="Times New Roman"/>
                <w:color w:val="auto"/>
              </w:rPr>
            </w:pPr>
          </w:p>
        </w:tc>
      </w:tr>
    </w:tbl>
    <w:p>
      <w:pPr>
        <w:numPr>
          <w:ilvl w:val="0"/>
          <w:numId w:val="5"/>
        </w:numPr>
        <w:rPr>
          <w:rFonts w:ascii="仿宋" w:hAnsi="仿宋" w:eastAsia="仿宋"/>
          <w:sz w:val="30"/>
          <w:szCs w:val="30"/>
        </w:rPr>
        <w:sectPr>
          <w:pgSz w:w="11906" w:h="16838"/>
          <w:pgMar w:top="1440" w:right="1800" w:bottom="1440" w:left="1800" w:header="851" w:footer="992" w:gutter="0"/>
          <w:cols w:space="425" w:num="1"/>
          <w:docGrid w:type="lines" w:linePitch="312" w:charSpace="0"/>
        </w:sectPr>
      </w:pPr>
    </w:p>
    <w:p>
      <w:pPr>
        <w:widowControl/>
        <w:spacing w:line="580" w:lineRule="exact"/>
        <w:jc w:val="left"/>
        <w:rPr>
          <w:rFonts w:ascii="黑体" w:hAnsi="宋体" w:eastAsia="黑体"/>
          <w:sz w:val="32"/>
          <w:szCs w:val="32"/>
          <w:lang w:bidi="ar"/>
        </w:rPr>
      </w:pPr>
      <w:r>
        <w:rPr>
          <w:rFonts w:hint="eastAsia" w:ascii="黑体" w:hAnsi="宋体" w:eastAsia="黑体"/>
          <w:sz w:val="32"/>
          <w:szCs w:val="32"/>
          <w:lang w:bidi="ar"/>
        </w:rPr>
        <w:t>附</w:t>
      </w:r>
      <w:r>
        <w:rPr>
          <w:rFonts w:ascii="黑体" w:hAnsi="宋体" w:eastAsia="黑体"/>
          <w:sz w:val="32"/>
          <w:szCs w:val="32"/>
          <w:lang w:bidi="ar"/>
        </w:rPr>
        <w:t>5</w:t>
      </w:r>
    </w:p>
    <w:p>
      <w:pPr>
        <w:spacing w:line="360" w:lineRule="auto"/>
        <w:jc w:val="center"/>
        <w:rPr>
          <w:rFonts w:ascii="宋体" w:hAnsi="宋体" w:cs="宋体"/>
          <w:b/>
          <w:sz w:val="44"/>
          <w:szCs w:val="44"/>
          <w:lang w:bidi="ar"/>
        </w:rPr>
      </w:pPr>
      <w:r>
        <w:rPr>
          <w:rFonts w:hint="eastAsia" w:ascii="宋体" w:hAnsi="宋体" w:cs="宋体"/>
          <w:b/>
          <w:sz w:val="44"/>
          <w:szCs w:val="44"/>
          <w:lang w:bidi="ar"/>
        </w:rPr>
        <w:t>银行间市场清算所股份有限公司</w:t>
      </w:r>
    </w:p>
    <w:p>
      <w:pPr>
        <w:spacing w:line="360" w:lineRule="auto"/>
        <w:jc w:val="center"/>
        <w:rPr>
          <w:rFonts w:ascii="宋体" w:hAnsi="宋体" w:cs="宋体"/>
          <w:b/>
          <w:sz w:val="44"/>
          <w:szCs w:val="44"/>
          <w:lang w:bidi="ar"/>
        </w:rPr>
      </w:pPr>
      <w:r>
        <w:rPr>
          <w:rFonts w:hint="eastAsia" w:ascii="宋体" w:hAnsi="宋体" w:cs="宋体"/>
          <w:b/>
          <w:sz w:val="44"/>
          <w:szCs w:val="44"/>
          <w:lang w:bidi="ar"/>
        </w:rPr>
        <w:t>大宗商品现货清算业务</w:t>
      </w:r>
    </w:p>
    <w:p>
      <w:pPr>
        <w:spacing w:line="360" w:lineRule="auto"/>
        <w:jc w:val="center"/>
        <w:rPr>
          <w:rFonts w:ascii="宋体" w:hAnsi="宋体" w:cs="宋体"/>
          <w:b/>
          <w:sz w:val="44"/>
          <w:szCs w:val="44"/>
          <w:lang w:bidi="ar"/>
        </w:rPr>
      </w:pPr>
      <w:r>
        <w:rPr>
          <w:rFonts w:hint="eastAsia" w:ascii="宋体" w:hAnsi="宋体" w:cs="宋体"/>
          <w:b/>
          <w:sz w:val="44"/>
          <w:szCs w:val="44"/>
          <w:lang w:bidi="ar"/>
        </w:rPr>
        <w:t>现货</w:t>
      </w:r>
      <w:r>
        <w:rPr>
          <w:rFonts w:ascii="宋体" w:hAnsi="宋体" w:cs="宋体"/>
          <w:b/>
          <w:sz w:val="44"/>
          <w:szCs w:val="44"/>
          <w:lang w:bidi="ar"/>
        </w:rPr>
        <w:t>平台</w:t>
      </w:r>
      <w:r>
        <w:rPr>
          <w:rFonts w:hint="eastAsia" w:ascii="宋体" w:hAnsi="宋体" w:cs="宋体"/>
          <w:b/>
          <w:sz w:val="44"/>
          <w:szCs w:val="44"/>
          <w:lang w:bidi="ar"/>
        </w:rPr>
        <w:t>资格申请书</w:t>
      </w:r>
    </w:p>
    <w:p>
      <w:pPr>
        <w:spacing w:after="100" w:afterAutospacing="1" w:line="360" w:lineRule="auto"/>
        <w:contextualSpacing/>
        <w:rPr>
          <w:rFonts w:ascii="Times New Roman" w:hAnsi="Times New Roman" w:eastAsia="仿宋"/>
          <w:sz w:val="24"/>
          <w:szCs w:val="24"/>
        </w:rPr>
      </w:pPr>
    </w:p>
    <w:p>
      <w:pPr>
        <w:spacing w:after="100" w:afterAutospacing="1" w:line="360" w:lineRule="auto"/>
        <w:contextualSpacing/>
        <w:rPr>
          <w:rFonts w:ascii="Times New Roman" w:hAnsi="Times New Roman" w:eastAsia="仿宋"/>
          <w:sz w:val="24"/>
          <w:szCs w:val="24"/>
        </w:rPr>
      </w:pPr>
      <w:r>
        <w:rPr>
          <w:rFonts w:hint="eastAsia" w:ascii="Times New Roman" w:hAnsi="Times New Roman" w:eastAsia="仿宋"/>
          <w:sz w:val="24"/>
          <w:szCs w:val="24"/>
        </w:rPr>
        <w:t>银行间市场清算所股份有限公司：</w:t>
      </w:r>
    </w:p>
    <w:p>
      <w:pPr>
        <w:spacing w:line="360" w:lineRule="auto"/>
        <w:ind w:firstLine="484" w:firstLineChars="202"/>
        <w:contextualSpacing/>
        <w:rPr>
          <w:rFonts w:ascii="仿宋" w:hAnsi="仿宋" w:eastAsia="仿宋"/>
          <w:sz w:val="24"/>
          <w:szCs w:val="24"/>
        </w:rPr>
      </w:pPr>
      <w:r>
        <w:rPr>
          <w:rFonts w:hint="eastAsia" w:ascii="仿宋" w:hAnsi="仿宋" w:eastAsia="仿宋"/>
          <w:sz w:val="24"/>
          <w:szCs w:val="24"/>
        </w:rPr>
        <w:t>本机构自愿申请银行间市场清算所股份有限公司的大宗商品现货清算业务</w:t>
      </w:r>
      <w:r>
        <w:rPr>
          <w:rFonts w:ascii="仿宋" w:hAnsi="仿宋" w:eastAsia="仿宋"/>
          <w:sz w:val="24"/>
          <w:szCs w:val="24"/>
        </w:rPr>
        <w:t>（</w:t>
      </w:r>
      <w:r>
        <w:rPr>
          <w:rFonts w:hint="eastAsia" w:ascii="仿宋" w:hAnsi="仿宋" w:eastAsia="仿宋"/>
          <w:sz w:val="24"/>
          <w:szCs w:val="24"/>
        </w:rPr>
        <w:t>以下简称</w:t>
      </w:r>
      <w:r>
        <w:rPr>
          <w:rFonts w:ascii="仿宋" w:hAnsi="仿宋" w:eastAsia="仿宋"/>
          <w:sz w:val="24"/>
          <w:szCs w:val="24"/>
        </w:rPr>
        <w:t>现货清算业务）</w:t>
      </w:r>
      <w:r>
        <w:rPr>
          <w:rFonts w:hint="eastAsia" w:ascii="仿宋" w:hAnsi="仿宋" w:eastAsia="仿宋"/>
          <w:sz w:val="24"/>
          <w:szCs w:val="24"/>
        </w:rPr>
        <w:t>现货</w:t>
      </w:r>
      <w:r>
        <w:rPr>
          <w:rFonts w:ascii="仿宋" w:hAnsi="仿宋" w:eastAsia="仿宋"/>
          <w:sz w:val="24"/>
          <w:szCs w:val="24"/>
        </w:rPr>
        <w:t>平台</w:t>
      </w:r>
      <w:r>
        <w:rPr>
          <w:rFonts w:hint="eastAsia" w:ascii="仿宋" w:hAnsi="仿宋" w:eastAsia="仿宋"/>
          <w:sz w:val="24"/>
          <w:szCs w:val="24"/>
        </w:rPr>
        <w:t>资格。</w:t>
      </w:r>
    </w:p>
    <w:p>
      <w:pPr>
        <w:spacing w:line="360" w:lineRule="auto"/>
        <w:ind w:firstLine="484" w:firstLineChars="202"/>
        <w:contextualSpacing/>
        <w:rPr>
          <w:rFonts w:ascii="仿宋" w:hAnsi="仿宋" w:eastAsia="仿宋"/>
          <w:sz w:val="24"/>
          <w:szCs w:val="24"/>
        </w:rPr>
      </w:pPr>
      <w:r>
        <w:rPr>
          <w:rFonts w:hint="eastAsia" w:ascii="仿宋" w:hAnsi="仿宋" w:eastAsia="仿宋"/>
          <w:sz w:val="24"/>
          <w:szCs w:val="24"/>
        </w:rPr>
        <w:t>一、本机构基本情况</w:t>
      </w:r>
    </w:p>
    <w:p>
      <w:pPr>
        <w:spacing w:line="360" w:lineRule="auto"/>
        <w:ind w:firstLine="484" w:firstLineChars="202"/>
        <w:contextualSpacing/>
        <w:rPr>
          <w:rFonts w:ascii="仿宋" w:hAnsi="仿宋" w:eastAsia="仿宋"/>
          <w:sz w:val="24"/>
          <w:szCs w:val="24"/>
        </w:rPr>
      </w:pPr>
      <w:r>
        <w:rPr>
          <w:rFonts w:hint="eastAsia" w:ascii="仿宋" w:hAnsi="仿宋" w:eastAsia="仿宋"/>
          <w:sz w:val="24"/>
          <w:szCs w:val="24"/>
        </w:rPr>
        <w:t>（简要介绍申请机构概况，包括但不限于股权</w:t>
      </w:r>
      <w:r>
        <w:rPr>
          <w:rFonts w:ascii="仿宋" w:hAnsi="仿宋" w:eastAsia="仿宋"/>
          <w:sz w:val="24"/>
          <w:szCs w:val="24"/>
        </w:rPr>
        <w:t>结构、控股股东情况</w:t>
      </w:r>
      <w:r>
        <w:rPr>
          <w:rFonts w:hint="eastAsia" w:ascii="仿宋" w:hAnsi="仿宋" w:eastAsia="仿宋"/>
          <w:sz w:val="24"/>
          <w:szCs w:val="24"/>
        </w:rPr>
        <w:t>、业务范围、机构历史沿革、行业地位、交易/交收品种</w:t>
      </w:r>
      <w:r>
        <w:rPr>
          <w:rFonts w:ascii="仿宋" w:hAnsi="仿宋" w:eastAsia="仿宋"/>
          <w:sz w:val="24"/>
          <w:szCs w:val="24"/>
        </w:rPr>
        <w:t>、</w:t>
      </w:r>
      <w:r>
        <w:rPr>
          <w:rFonts w:hint="eastAsia" w:ascii="仿宋" w:hAnsi="仿宋" w:eastAsia="仿宋"/>
          <w:sz w:val="24"/>
          <w:szCs w:val="24"/>
        </w:rPr>
        <w:t>业务</w:t>
      </w:r>
      <w:r>
        <w:rPr>
          <w:rFonts w:ascii="仿宋" w:hAnsi="仿宋" w:eastAsia="仿宋"/>
          <w:sz w:val="24"/>
          <w:szCs w:val="24"/>
        </w:rPr>
        <w:t>开展情况、</w:t>
      </w:r>
      <w:r>
        <w:rPr>
          <w:rFonts w:hint="eastAsia" w:ascii="仿宋" w:hAnsi="仿宋" w:eastAsia="仿宋"/>
          <w:sz w:val="24"/>
          <w:szCs w:val="24"/>
        </w:rPr>
        <w:t>客户数量</w:t>
      </w:r>
      <w:r>
        <w:rPr>
          <w:rFonts w:ascii="仿宋" w:hAnsi="仿宋" w:eastAsia="仿宋"/>
          <w:sz w:val="24"/>
          <w:szCs w:val="24"/>
        </w:rPr>
        <w:t>及</w:t>
      </w:r>
      <w:r>
        <w:rPr>
          <w:rFonts w:hint="eastAsia" w:ascii="仿宋" w:hAnsi="仿宋" w:eastAsia="仿宋"/>
          <w:sz w:val="24"/>
          <w:szCs w:val="24"/>
        </w:rPr>
        <w:t>类型</w:t>
      </w:r>
      <w:r>
        <w:rPr>
          <w:rFonts w:ascii="仿宋" w:hAnsi="仿宋" w:eastAsia="仿宋"/>
          <w:sz w:val="24"/>
          <w:szCs w:val="24"/>
        </w:rPr>
        <w:t>、</w:t>
      </w:r>
      <w:r>
        <w:rPr>
          <w:rFonts w:hint="eastAsia" w:ascii="仿宋" w:hAnsi="仿宋" w:eastAsia="仿宋"/>
          <w:sz w:val="24"/>
          <w:szCs w:val="24"/>
        </w:rPr>
        <w:t>内部控制组织机构设置及运行情况等）。</w:t>
      </w:r>
    </w:p>
    <w:p>
      <w:pPr>
        <w:spacing w:line="360" w:lineRule="auto"/>
        <w:ind w:firstLine="484" w:firstLineChars="202"/>
        <w:contextualSpacing/>
        <w:rPr>
          <w:rFonts w:ascii="仿宋" w:hAnsi="仿宋" w:eastAsia="仿宋"/>
          <w:sz w:val="24"/>
          <w:szCs w:val="24"/>
        </w:rPr>
      </w:pPr>
      <w:r>
        <w:rPr>
          <w:rFonts w:hint="eastAsia" w:ascii="仿宋" w:hAnsi="仿宋" w:eastAsia="仿宋"/>
          <w:sz w:val="24"/>
          <w:szCs w:val="24"/>
        </w:rPr>
        <w:t>二、本机构关于参与现货清算业务的初步规划</w:t>
      </w:r>
    </w:p>
    <w:p>
      <w:pPr>
        <w:spacing w:line="360" w:lineRule="auto"/>
        <w:ind w:firstLine="484" w:firstLineChars="202"/>
        <w:contextualSpacing/>
        <w:rPr>
          <w:rFonts w:ascii="仿宋" w:hAnsi="仿宋" w:eastAsia="仿宋"/>
          <w:sz w:val="24"/>
          <w:szCs w:val="24"/>
        </w:rPr>
      </w:pPr>
      <w:r>
        <w:rPr>
          <w:rFonts w:hint="eastAsia" w:ascii="仿宋" w:hAnsi="仿宋" w:eastAsia="仿宋"/>
          <w:sz w:val="24"/>
          <w:szCs w:val="24"/>
        </w:rPr>
        <w:t>（简要介绍成为现货清算业务现货</w:t>
      </w:r>
      <w:r>
        <w:rPr>
          <w:rFonts w:ascii="仿宋" w:hAnsi="仿宋" w:eastAsia="仿宋"/>
          <w:sz w:val="24"/>
          <w:szCs w:val="24"/>
        </w:rPr>
        <w:t>平台</w:t>
      </w:r>
      <w:r>
        <w:rPr>
          <w:rFonts w:hint="eastAsia" w:ascii="仿宋" w:hAnsi="仿宋" w:eastAsia="仿宋"/>
          <w:sz w:val="24"/>
          <w:szCs w:val="24"/>
        </w:rPr>
        <w:t>后，预计</w:t>
      </w:r>
      <w:r>
        <w:rPr>
          <w:rFonts w:ascii="仿宋" w:hAnsi="仿宋" w:eastAsia="仿宋"/>
          <w:sz w:val="24"/>
          <w:szCs w:val="24"/>
        </w:rPr>
        <w:t>三年内每年业务量、</w:t>
      </w:r>
      <w:r>
        <w:rPr>
          <w:rFonts w:hint="eastAsia" w:ascii="仿宋" w:hAnsi="仿宋" w:eastAsia="仿宋"/>
          <w:sz w:val="24"/>
          <w:szCs w:val="24"/>
        </w:rPr>
        <w:t>参与</w:t>
      </w:r>
      <w:r>
        <w:rPr>
          <w:rFonts w:ascii="仿宋" w:hAnsi="仿宋" w:eastAsia="仿宋"/>
          <w:sz w:val="24"/>
          <w:szCs w:val="24"/>
        </w:rPr>
        <w:t>客户数量、</w:t>
      </w:r>
      <w:r>
        <w:rPr>
          <w:rFonts w:hint="eastAsia" w:ascii="仿宋" w:hAnsi="仿宋" w:eastAsia="仿宋"/>
          <w:sz w:val="24"/>
          <w:szCs w:val="24"/>
        </w:rPr>
        <w:t>后续</w:t>
      </w:r>
      <w:r>
        <w:rPr>
          <w:rFonts w:ascii="仿宋" w:hAnsi="仿宋" w:eastAsia="仿宋"/>
          <w:sz w:val="24"/>
          <w:szCs w:val="24"/>
        </w:rPr>
        <w:t>开展业务的规划等</w:t>
      </w:r>
      <w:r>
        <w:rPr>
          <w:rFonts w:hint="eastAsia" w:ascii="仿宋" w:hAnsi="仿宋" w:eastAsia="仿宋"/>
          <w:sz w:val="24"/>
          <w:szCs w:val="24"/>
        </w:rPr>
        <w:t>）。</w:t>
      </w:r>
    </w:p>
    <w:p>
      <w:pPr>
        <w:widowControl/>
        <w:spacing w:before="100" w:beforeAutospacing="1" w:after="100" w:afterAutospacing="1" w:line="360" w:lineRule="auto"/>
        <w:ind w:firstLine="480" w:firstLineChars="200"/>
        <w:contextualSpacing/>
        <w:rPr>
          <w:rFonts w:ascii="仿宋" w:hAnsi="仿宋" w:eastAsia="仿宋"/>
          <w:sz w:val="24"/>
          <w:szCs w:val="24"/>
        </w:rPr>
      </w:pPr>
      <w:r>
        <w:rPr>
          <w:rFonts w:hint="eastAsia" w:ascii="仿宋" w:hAnsi="仿宋" w:eastAsia="仿宋"/>
          <w:sz w:val="24"/>
          <w:szCs w:val="24"/>
        </w:rPr>
        <w:t>三、承诺事项（范例）</w:t>
      </w:r>
    </w:p>
    <w:p>
      <w:pPr>
        <w:widowControl/>
        <w:spacing w:before="100" w:beforeAutospacing="1" w:after="100" w:afterAutospacing="1" w:line="360" w:lineRule="auto"/>
        <w:ind w:firstLine="480" w:firstLineChars="200"/>
        <w:contextualSpacing/>
        <w:rPr>
          <w:rFonts w:ascii="仿宋" w:hAnsi="仿宋" w:eastAsia="仿宋"/>
          <w:sz w:val="24"/>
          <w:szCs w:val="24"/>
        </w:rPr>
      </w:pPr>
      <w:r>
        <w:rPr>
          <w:rFonts w:hint="eastAsia" w:ascii="仿宋" w:hAnsi="仿宋" w:eastAsia="仿宋"/>
          <w:sz w:val="24"/>
          <w:szCs w:val="24"/>
        </w:rPr>
        <w:t>本机构成为现货清算业务现货</w:t>
      </w:r>
      <w:r>
        <w:rPr>
          <w:rFonts w:ascii="仿宋" w:hAnsi="仿宋" w:eastAsia="仿宋"/>
          <w:sz w:val="24"/>
          <w:szCs w:val="24"/>
        </w:rPr>
        <w:t>平台</w:t>
      </w:r>
      <w:r>
        <w:rPr>
          <w:rFonts w:hint="eastAsia" w:ascii="仿宋" w:hAnsi="仿宋" w:eastAsia="仿宋"/>
          <w:sz w:val="24"/>
          <w:szCs w:val="24"/>
        </w:rPr>
        <w:t>后，将严格遵守贵公司现货清算业务规则，积极配合现货清算业务工作，认真履行现货</w:t>
      </w:r>
      <w:r>
        <w:rPr>
          <w:rFonts w:ascii="仿宋" w:hAnsi="仿宋" w:eastAsia="仿宋"/>
          <w:sz w:val="24"/>
          <w:szCs w:val="24"/>
        </w:rPr>
        <w:t>平台</w:t>
      </w:r>
      <w:r>
        <w:rPr>
          <w:rFonts w:hint="eastAsia" w:ascii="仿宋" w:hAnsi="仿宋" w:eastAsia="仿宋"/>
          <w:sz w:val="24"/>
          <w:szCs w:val="24"/>
        </w:rPr>
        <w:t>义务。有违反贵公司有关规定的，本机构将承担由此引起的一切后果及法律责任。</w:t>
      </w:r>
    </w:p>
    <w:p>
      <w:pPr>
        <w:spacing w:line="360" w:lineRule="auto"/>
        <w:ind w:firstLine="484" w:firstLineChars="202"/>
        <w:contextualSpacing/>
        <w:rPr>
          <w:rFonts w:ascii="仿宋" w:hAnsi="仿宋" w:eastAsia="仿宋"/>
          <w:sz w:val="24"/>
          <w:szCs w:val="24"/>
        </w:rPr>
      </w:pPr>
    </w:p>
    <w:p>
      <w:pPr>
        <w:spacing w:line="360" w:lineRule="auto"/>
        <w:ind w:firstLine="484" w:firstLineChars="202"/>
        <w:contextualSpacing/>
        <w:rPr>
          <w:rFonts w:ascii="仿宋" w:hAnsi="仿宋" w:eastAsia="仿宋"/>
          <w:sz w:val="24"/>
          <w:szCs w:val="24"/>
        </w:rPr>
      </w:pPr>
      <w:r>
        <w:rPr>
          <w:rFonts w:hint="eastAsia" w:ascii="仿宋" w:hAnsi="仿宋" w:eastAsia="仿宋"/>
          <w:sz w:val="24"/>
          <w:szCs w:val="24"/>
        </w:rPr>
        <w:t xml:space="preserve">附件： </w:t>
      </w:r>
    </w:p>
    <w:p>
      <w:pPr>
        <w:spacing w:line="360" w:lineRule="auto"/>
        <w:ind w:left="426"/>
        <w:contextualSpacing/>
        <w:rPr>
          <w:rFonts w:ascii="仿宋" w:hAnsi="仿宋" w:eastAsia="仿宋"/>
          <w:sz w:val="24"/>
          <w:szCs w:val="24"/>
        </w:rPr>
      </w:pPr>
      <w:r>
        <w:rPr>
          <w:rFonts w:ascii="仿宋" w:hAnsi="仿宋" w:eastAsia="仿宋"/>
          <w:sz w:val="24"/>
          <w:szCs w:val="24"/>
        </w:rPr>
        <w:t>1</w:t>
      </w:r>
      <w:r>
        <w:rPr>
          <w:rFonts w:hAnsi="仿宋" w:cs="Times New Roman"/>
        </w:rPr>
        <w:t>．</w:t>
      </w:r>
      <w:r>
        <w:rPr>
          <w:rFonts w:hint="eastAsia" w:ascii="仿宋" w:hAnsi="仿宋" w:eastAsia="仿宋"/>
          <w:sz w:val="24"/>
          <w:szCs w:val="24"/>
        </w:rPr>
        <w:t>申请机构近三年或成立以来（成立不足三年适用）的</w:t>
      </w:r>
      <w:r>
        <w:rPr>
          <w:rFonts w:ascii="仿宋" w:hAnsi="仿宋" w:eastAsia="仿宋"/>
          <w:sz w:val="24"/>
          <w:szCs w:val="24"/>
        </w:rPr>
        <w:t>审计报告</w:t>
      </w:r>
    </w:p>
    <w:p>
      <w:pPr>
        <w:spacing w:line="360" w:lineRule="auto"/>
        <w:ind w:left="426"/>
        <w:contextualSpacing/>
        <w:rPr>
          <w:rFonts w:ascii="仿宋" w:hAnsi="仿宋" w:eastAsia="仿宋"/>
          <w:sz w:val="24"/>
          <w:szCs w:val="24"/>
        </w:rPr>
      </w:pPr>
      <w:r>
        <w:rPr>
          <w:rFonts w:ascii="仿宋" w:hAnsi="仿宋" w:eastAsia="仿宋"/>
          <w:sz w:val="24"/>
          <w:szCs w:val="24"/>
        </w:rPr>
        <w:t>2</w:t>
      </w:r>
      <w:r>
        <w:rPr>
          <w:rFonts w:hAnsi="仿宋" w:cs="Times New Roman"/>
        </w:rPr>
        <w:t>．</w:t>
      </w:r>
      <w:r>
        <w:rPr>
          <w:rFonts w:hint="eastAsia" w:ascii="仿宋" w:hAnsi="仿宋" w:eastAsia="仿宋"/>
          <w:sz w:val="24"/>
          <w:szCs w:val="24"/>
        </w:rPr>
        <w:t>申请机构与交易商的协议范本</w:t>
      </w:r>
    </w:p>
    <w:p>
      <w:pPr>
        <w:spacing w:line="360" w:lineRule="auto"/>
        <w:ind w:firstLine="484" w:firstLineChars="202"/>
        <w:contextualSpacing/>
        <w:rPr>
          <w:rFonts w:ascii="仿宋" w:hAnsi="仿宋" w:eastAsia="仿宋"/>
          <w:sz w:val="24"/>
          <w:szCs w:val="24"/>
        </w:rPr>
      </w:pPr>
    </w:p>
    <w:p>
      <w:pPr>
        <w:widowControl/>
        <w:spacing w:before="100" w:beforeAutospacing="1" w:after="100" w:afterAutospacing="1" w:line="360" w:lineRule="auto"/>
        <w:ind w:firstLine="3120" w:firstLineChars="1300"/>
        <w:contextualSpacing/>
        <w:rPr>
          <w:rFonts w:ascii="Times New Roman" w:hAnsi="Times New Roman" w:eastAsia="仿宋"/>
          <w:sz w:val="24"/>
          <w:szCs w:val="24"/>
        </w:rPr>
      </w:pPr>
    </w:p>
    <w:p>
      <w:pPr>
        <w:widowControl/>
        <w:spacing w:before="100" w:beforeAutospacing="1" w:after="100" w:afterAutospacing="1" w:line="360" w:lineRule="auto"/>
        <w:ind w:left="2835" w:leftChars="1350" w:right="2635" w:rightChars="1255"/>
        <w:contextualSpacing/>
        <w:rPr>
          <w:rFonts w:ascii="Times New Roman" w:hAnsi="Times New Roman" w:eastAsia="仿宋"/>
          <w:sz w:val="24"/>
          <w:szCs w:val="24"/>
        </w:rPr>
      </w:pPr>
      <w:r>
        <w:rPr>
          <w:rFonts w:hint="eastAsia" w:ascii="Times New Roman" w:hAnsi="Times New Roman" w:eastAsia="仿宋"/>
          <w:sz w:val="24"/>
          <w:szCs w:val="24"/>
        </w:rPr>
        <w:t>法人代表或授权代表签章：</w:t>
      </w:r>
    </w:p>
    <w:p>
      <w:pPr>
        <w:widowControl/>
        <w:spacing w:before="100" w:beforeAutospacing="1" w:after="100" w:afterAutospacing="1" w:line="360" w:lineRule="auto"/>
        <w:ind w:left="2835" w:leftChars="1350" w:right="2635" w:rightChars="1255"/>
        <w:contextualSpacing/>
        <w:rPr>
          <w:rFonts w:ascii="Times New Roman" w:hAnsi="Times New Roman" w:eastAsia="仿宋"/>
          <w:sz w:val="24"/>
          <w:szCs w:val="24"/>
        </w:rPr>
      </w:pPr>
      <w:r>
        <w:rPr>
          <w:rFonts w:hint="eastAsia" w:ascii="Times New Roman" w:hAnsi="Times New Roman" w:eastAsia="仿宋"/>
          <w:sz w:val="24"/>
          <w:szCs w:val="24"/>
        </w:rPr>
        <w:t>单位公章：</w:t>
      </w:r>
    </w:p>
    <w:p>
      <w:pPr>
        <w:widowControl/>
        <w:spacing w:before="100" w:beforeAutospacing="1" w:after="100" w:afterAutospacing="1" w:line="360" w:lineRule="auto"/>
        <w:ind w:left="2835" w:leftChars="1350" w:right="2635" w:rightChars="1255"/>
        <w:contextualSpacing/>
        <w:rPr>
          <w:rFonts w:ascii="Times New Roman" w:hAnsi="Times New Roman" w:eastAsia="仿宋"/>
          <w:sz w:val="24"/>
          <w:szCs w:val="24"/>
        </w:rPr>
      </w:pPr>
      <w:r>
        <w:rPr>
          <w:rFonts w:hint="eastAsia" w:ascii="Times New Roman" w:hAnsi="Times New Roman" w:eastAsia="仿宋"/>
          <w:sz w:val="24"/>
          <w:szCs w:val="24"/>
        </w:rPr>
        <w:t>日期：</w:t>
      </w:r>
    </w:p>
    <w:p>
      <w:pPr>
        <w:ind w:left="2835" w:leftChars="1350"/>
        <w:rPr>
          <w:rFonts w:ascii="Times New Roman" w:hAnsi="Times New Roman" w:eastAsia="仿宋"/>
          <w:sz w:val="24"/>
          <w:szCs w:val="24"/>
        </w:rPr>
        <w:sectPr>
          <w:pgSz w:w="11906" w:h="16838"/>
          <w:pgMar w:top="1440" w:right="1800" w:bottom="1440" w:left="1800" w:header="851" w:footer="992" w:gutter="0"/>
          <w:cols w:space="425" w:num="1"/>
          <w:docGrid w:type="lines" w:linePitch="312" w:charSpace="0"/>
        </w:sectPr>
      </w:pPr>
    </w:p>
    <w:p>
      <w:pPr>
        <w:widowControl/>
        <w:spacing w:line="580" w:lineRule="exact"/>
        <w:jc w:val="left"/>
        <w:rPr>
          <w:rFonts w:ascii="黑体" w:hAnsi="宋体" w:eastAsia="黑体"/>
          <w:sz w:val="32"/>
          <w:szCs w:val="32"/>
          <w:lang w:bidi="ar"/>
        </w:rPr>
      </w:pPr>
      <w:r>
        <w:rPr>
          <w:rFonts w:hint="eastAsia" w:ascii="黑体" w:hAnsi="宋体" w:eastAsia="黑体"/>
          <w:sz w:val="32"/>
          <w:szCs w:val="32"/>
          <w:lang w:bidi="ar"/>
        </w:rPr>
        <w:t>附</w:t>
      </w:r>
      <w:r>
        <w:rPr>
          <w:rFonts w:ascii="黑体" w:hAnsi="宋体" w:eastAsia="黑体"/>
          <w:sz w:val="32"/>
          <w:szCs w:val="32"/>
          <w:lang w:bidi="ar"/>
        </w:rPr>
        <w:t>6</w:t>
      </w:r>
    </w:p>
    <w:p>
      <w:pPr>
        <w:spacing w:line="360" w:lineRule="auto"/>
        <w:jc w:val="center"/>
        <w:rPr>
          <w:rFonts w:ascii="宋体" w:hAnsi="宋体" w:cs="宋体"/>
          <w:b/>
          <w:sz w:val="44"/>
          <w:szCs w:val="44"/>
          <w:lang w:bidi="ar"/>
        </w:rPr>
      </w:pPr>
      <w:r>
        <w:rPr>
          <w:rFonts w:hint="eastAsia" w:ascii="宋体" w:hAnsi="宋体" w:cs="宋体"/>
          <w:b/>
          <w:sz w:val="44"/>
          <w:szCs w:val="44"/>
          <w:lang w:bidi="ar"/>
        </w:rPr>
        <w:t>银行间市场清算所股份有限公司</w:t>
      </w:r>
    </w:p>
    <w:p>
      <w:pPr>
        <w:spacing w:line="360" w:lineRule="auto"/>
        <w:jc w:val="center"/>
        <w:rPr>
          <w:rFonts w:ascii="宋体" w:hAnsi="宋体" w:cs="宋体"/>
          <w:b/>
          <w:sz w:val="44"/>
          <w:szCs w:val="44"/>
          <w:lang w:bidi="ar"/>
        </w:rPr>
      </w:pPr>
      <w:r>
        <w:rPr>
          <w:rFonts w:hint="eastAsia" w:ascii="宋体" w:hAnsi="宋体" w:cs="宋体"/>
          <w:b/>
          <w:sz w:val="44"/>
          <w:szCs w:val="44"/>
          <w:lang w:bidi="ar"/>
        </w:rPr>
        <w:t>大宗商品现货清算业务现货</w:t>
      </w:r>
      <w:r>
        <w:rPr>
          <w:rFonts w:ascii="宋体" w:hAnsi="宋体" w:cs="宋体"/>
          <w:b/>
          <w:sz w:val="44"/>
          <w:szCs w:val="44"/>
          <w:lang w:bidi="ar"/>
        </w:rPr>
        <w:t>平台</w:t>
      </w:r>
      <w:r>
        <w:rPr>
          <w:rFonts w:hint="eastAsia" w:ascii="宋体" w:hAnsi="宋体" w:cs="宋体"/>
          <w:b/>
          <w:sz w:val="44"/>
          <w:szCs w:val="44"/>
          <w:lang w:bidi="ar"/>
        </w:rPr>
        <w:t>登记表</w:t>
      </w:r>
    </w:p>
    <w:tbl>
      <w:tblPr>
        <w:tblStyle w:val="21"/>
        <w:tblW w:w="9073"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97"/>
        <w:gridCol w:w="561"/>
        <w:gridCol w:w="714"/>
        <w:gridCol w:w="1274"/>
        <w:gridCol w:w="142"/>
        <w:gridCol w:w="145"/>
        <w:gridCol w:w="1413"/>
        <w:gridCol w:w="854"/>
        <w:gridCol w:w="280"/>
        <w:gridCol w:w="284"/>
        <w:gridCol w:w="17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9" w:hRule="atLeast"/>
        </w:trPr>
        <w:tc>
          <w:tcPr>
            <w:tcW w:w="9073" w:type="dxa"/>
            <w:gridSpan w:val="11"/>
            <w:shd w:val="clear" w:color="auto" w:fill="auto"/>
            <w:vAlign w:val="center"/>
          </w:tcPr>
          <w:p>
            <w:pPr>
              <w:pStyle w:val="36"/>
              <w:jc w:val="center"/>
              <w:rPr>
                <w:rFonts w:ascii="Times New Roman" w:hAnsi="Times New Roman" w:cs="Times New Roman"/>
                <w:b/>
                <w:color w:val="auto"/>
                <w:sz w:val="21"/>
                <w:szCs w:val="21"/>
              </w:rPr>
            </w:pPr>
            <w:r>
              <w:rPr>
                <w:rFonts w:hint="eastAsia" w:ascii="Times New Roman" w:hAnsi="Times New Roman" w:cs="Times New Roman"/>
                <w:b/>
                <w:color w:val="auto"/>
                <w:sz w:val="21"/>
                <w:szCs w:val="21"/>
              </w:rPr>
              <w:t>申请机构基本信息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9" w:hRule="atLeast"/>
        </w:trPr>
        <w:tc>
          <w:tcPr>
            <w:tcW w:w="2258" w:type="dxa"/>
            <w:gridSpan w:val="2"/>
            <w:shd w:val="clear" w:color="auto" w:fill="auto"/>
            <w:vAlign w:val="center"/>
          </w:tcPr>
          <w:p>
            <w:pPr>
              <w:pStyle w:val="36"/>
              <w:jc w:val="both"/>
              <w:rPr>
                <w:rFonts w:ascii="Times New Roman" w:hAnsi="Times New Roman" w:cs="Times New Roman"/>
                <w:color w:val="auto"/>
                <w:kern w:val="2"/>
                <w:sz w:val="21"/>
                <w:szCs w:val="21"/>
              </w:rPr>
            </w:pPr>
            <w:r>
              <w:rPr>
                <w:rFonts w:hint="eastAsia" w:ascii="Times New Roman" w:hAnsi="Times New Roman" w:cs="Times New Roman"/>
                <w:color w:val="auto"/>
                <w:sz w:val="21"/>
                <w:szCs w:val="21"/>
              </w:rPr>
              <w:t>申请机构全称</w:t>
            </w:r>
          </w:p>
        </w:tc>
        <w:tc>
          <w:tcPr>
            <w:tcW w:w="6815" w:type="dxa"/>
            <w:gridSpan w:val="9"/>
            <w:shd w:val="clear" w:color="auto" w:fill="auto"/>
            <w:vAlign w:val="center"/>
          </w:tcPr>
          <w:p>
            <w:pPr>
              <w:pStyle w:val="36"/>
              <w:ind w:firstLine="420"/>
              <w:jc w:val="center"/>
              <w:rPr>
                <w:rFonts w:ascii="Times New Roman" w:hAnsi="Times New Roman" w:cs="Times New Roman"/>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9" w:hRule="atLeast"/>
        </w:trPr>
        <w:tc>
          <w:tcPr>
            <w:tcW w:w="2258" w:type="dxa"/>
            <w:gridSpan w:val="2"/>
            <w:shd w:val="clear" w:color="auto" w:fill="auto"/>
            <w:vAlign w:val="center"/>
          </w:tcPr>
          <w:p>
            <w:pPr>
              <w:pStyle w:val="36"/>
              <w:jc w:val="both"/>
              <w:rPr>
                <w:rFonts w:ascii="Times New Roman" w:hAnsi="Times New Roman" w:cs="Times New Roman"/>
                <w:color w:val="auto"/>
                <w:sz w:val="21"/>
                <w:szCs w:val="21"/>
              </w:rPr>
            </w:pPr>
            <w:r>
              <w:rPr>
                <w:rFonts w:hint="eastAsia" w:ascii="Times New Roman" w:hAnsi="Times New Roman" w:cs="Times New Roman"/>
                <w:color w:val="auto"/>
                <w:sz w:val="21"/>
                <w:szCs w:val="21"/>
              </w:rPr>
              <w:t>现货平台编码</w:t>
            </w:r>
            <w:r>
              <w:rPr>
                <w:rFonts w:ascii="Times New Roman" w:hAnsi="Times New Roman" w:cs="Times New Roman"/>
                <w:color w:val="auto"/>
                <w:sz w:val="21"/>
                <w:szCs w:val="21"/>
              </w:rPr>
              <w:t>*</w:t>
            </w:r>
          </w:p>
        </w:tc>
        <w:tc>
          <w:tcPr>
            <w:tcW w:w="6815" w:type="dxa"/>
            <w:gridSpan w:val="9"/>
            <w:shd w:val="clear" w:color="auto" w:fill="auto"/>
            <w:vAlign w:val="center"/>
          </w:tcPr>
          <w:p>
            <w:pPr>
              <w:pStyle w:val="36"/>
              <w:ind w:firstLine="420"/>
              <w:jc w:val="center"/>
              <w:rPr>
                <w:rFonts w:ascii="Times New Roman" w:hAnsi="Times New Roman" w:cs="Times New Roman"/>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9" w:hRule="atLeast"/>
        </w:trPr>
        <w:tc>
          <w:tcPr>
            <w:tcW w:w="2258" w:type="dxa"/>
            <w:gridSpan w:val="2"/>
            <w:shd w:val="clear" w:color="auto" w:fill="auto"/>
            <w:vAlign w:val="center"/>
          </w:tcPr>
          <w:p>
            <w:pPr>
              <w:pStyle w:val="36"/>
              <w:jc w:val="both"/>
              <w:rPr>
                <w:rFonts w:ascii="Times New Roman" w:hAnsi="Times New Roman" w:cs="Times New Roman"/>
                <w:color w:val="auto"/>
                <w:kern w:val="2"/>
                <w:sz w:val="21"/>
                <w:szCs w:val="21"/>
              </w:rPr>
            </w:pPr>
            <w:r>
              <w:rPr>
                <w:rFonts w:hint="eastAsia" w:ascii="Times New Roman" w:hAnsi="Times New Roman" w:cs="Times New Roman"/>
                <w:color w:val="auto"/>
                <w:sz w:val="21"/>
                <w:szCs w:val="21"/>
              </w:rPr>
              <w:t>注册地址</w:t>
            </w:r>
          </w:p>
        </w:tc>
        <w:tc>
          <w:tcPr>
            <w:tcW w:w="6815" w:type="dxa"/>
            <w:gridSpan w:val="9"/>
            <w:shd w:val="clear" w:color="auto" w:fill="auto"/>
            <w:vAlign w:val="center"/>
          </w:tcPr>
          <w:p>
            <w:pPr>
              <w:pStyle w:val="36"/>
              <w:ind w:firstLine="420"/>
              <w:jc w:val="center"/>
              <w:rPr>
                <w:rFonts w:ascii="Times New Roman" w:hAnsi="Times New Roman" w:cs="Times New Roman"/>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9" w:hRule="atLeast"/>
        </w:trPr>
        <w:tc>
          <w:tcPr>
            <w:tcW w:w="2258" w:type="dxa"/>
            <w:gridSpan w:val="2"/>
            <w:shd w:val="clear" w:color="auto" w:fill="auto"/>
            <w:vAlign w:val="center"/>
          </w:tcPr>
          <w:p>
            <w:pPr>
              <w:pStyle w:val="36"/>
              <w:jc w:val="both"/>
              <w:rPr>
                <w:rFonts w:ascii="Times New Roman" w:hAnsi="Times New Roman" w:cs="Times New Roman"/>
                <w:color w:val="auto"/>
                <w:kern w:val="2"/>
                <w:sz w:val="21"/>
                <w:szCs w:val="21"/>
              </w:rPr>
            </w:pPr>
            <w:r>
              <w:rPr>
                <w:rFonts w:hint="eastAsia" w:ascii="Times New Roman" w:hAnsi="Times New Roman" w:cs="Times New Roman"/>
                <w:color w:val="auto"/>
                <w:sz w:val="21"/>
                <w:szCs w:val="21"/>
              </w:rPr>
              <w:t>注册资本（万元）</w:t>
            </w:r>
          </w:p>
        </w:tc>
        <w:tc>
          <w:tcPr>
            <w:tcW w:w="2275" w:type="dxa"/>
            <w:gridSpan w:val="4"/>
            <w:shd w:val="clear" w:color="auto" w:fill="auto"/>
            <w:vAlign w:val="center"/>
          </w:tcPr>
          <w:p>
            <w:pPr>
              <w:pStyle w:val="36"/>
              <w:ind w:firstLine="420"/>
              <w:jc w:val="center"/>
              <w:rPr>
                <w:rFonts w:ascii="Times New Roman" w:hAnsi="Times New Roman" w:cs="Times New Roman"/>
                <w:color w:val="auto"/>
                <w:sz w:val="21"/>
                <w:szCs w:val="21"/>
              </w:rPr>
            </w:pPr>
          </w:p>
        </w:tc>
        <w:tc>
          <w:tcPr>
            <w:tcW w:w="2267" w:type="dxa"/>
            <w:gridSpan w:val="2"/>
            <w:shd w:val="clear" w:color="auto" w:fill="auto"/>
            <w:vAlign w:val="center"/>
          </w:tcPr>
          <w:p>
            <w:pPr>
              <w:pStyle w:val="36"/>
              <w:jc w:val="center"/>
              <w:rPr>
                <w:rFonts w:ascii="Times New Roman" w:hAnsi="Times New Roman" w:cs="Times New Roman"/>
                <w:color w:val="auto"/>
                <w:kern w:val="2"/>
                <w:sz w:val="21"/>
                <w:szCs w:val="21"/>
              </w:rPr>
            </w:pPr>
            <w:r>
              <w:rPr>
                <w:rFonts w:hint="eastAsia" w:ascii="Times New Roman" w:hAnsi="Times New Roman" w:cs="Times New Roman"/>
                <w:color w:val="auto"/>
                <w:sz w:val="21"/>
                <w:szCs w:val="21"/>
              </w:rPr>
              <w:t>法定代表人</w:t>
            </w:r>
          </w:p>
        </w:tc>
        <w:tc>
          <w:tcPr>
            <w:tcW w:w="2273" w:type="dxa"/>
            <w:gridSpan w:val="3"/>
            <w:shd w:val="clear" w:color="auto" w:fill="auto"/>
            <w:vAlign w:val="center"/>
          </w:tcPr>
          <w:p>
            <w:pPr>
              <w:pStyle w:val="36"/>
              <w:ind w:firstLine="420"/>
              <w:jc w:val="center"/>
              <w:rPr>
                <w:rFonts w:ascii="Times New Roman" w:hAnsi="Times New Roman" w:cs="Times New Roman"/>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9" w:hRule="atLeast"/>
        </w:trPr>
        <w:tc>
          <w:tcPr>
            <w:tcW w:w="2258" w:type="dxa"/>
            <w:gridSpan w:val="2"/>
            <w:shd w:val="clear" w:color="auto" w:fill="auto"/>
            <w:vAlign w:val="center"/>
          </w:tcPr>
          <w:p>
            <w:pPr>
              <w:pStyle w:val="36"/>
              <w:jc w:val="both"/>
              <w:rPr>
                <w:rFonts w:ascii="Times New Roman" w:hAnsi="Times New Roman" w:cs="Times New Roman"/>
                <w:color w:val="auto"/>
                <w:kern w:val="2"/>
                <w:sz w:val="21"/>
                <w:szCs w:val="21"/>
              </w:rPr>
            </w:pPr>
            <w:r>
              <w:rPr>
                <w:rFonts w:hint="eastAsia" w:ascii="Times New Roman" w:hAnsi="Times New Roman" w:cs="Times New Roman"/>
                <w:color w:val="auto"/>
                <w:sz w:val="21"/>
                <w:szCs w:val="21"/>
              </w:rPr>
              <w:t>统一</w:t>
            </w:r>
            <w:r>
              <w:rPr>
                <w:rFonts w:ascii="Times New Roman" w:hAnsi="Times New Roman" w:cs="Times New Roman"/>
                <w:color w:val="auto"/>
                <w:sz w:val="21"/>
                <w:szCs w:val="21"/>
              </w:rPr>
              <w:t>社会信用代码</w:t>
            </w:r>
          </w:p>
        </w:tc>
        <w:tc>
          <w:tcPr>
            <w:tcW w:w="2275" w:type="dxa"/>
            <w:gridSpan w:val="4"/>
            <w:shd w:val="clear" w:color="auto" w:fill="auto"/>
            <w:vAlign w:val="center"/>
          </w:tcPr>
          <w:p>
            <w:pPr>
              <w:pStyle w:val="36"/>
              <w:ind w:firstLine="420"/>
              <w:jc w:val="center"/>
              <w:rPr>
                <w:rFonts w:ascii="Times New Roman" w:hAnsi="Times New Roman" w:cs="Times New Roman"/>
                <w:color w:val="auto"/>
                <w:sz w:val="21"/>
                <w:szCs w:val="21"/>
              </w:rPr>
            </w:pPr>
          </w:p>
        </w:tc>
        <w:tc>
          <w:tcPr>
            <w:tcW w:w="2267" w:type="dxa"/>
            <w:gridSpan w:val="2"/>
            <w:shd w:val="clear" w:color="auto" w:fill="auto"/>
            <w:vAlign w:val="center"/>
          </w:tcPr>
          <w:p>
            <w:pPr>
              <w:pStyle w:val="36"/>
              <w:jc w:val="center"/>
              <w:rPr>
                <w:rFonts w:ascii="Times New Roman" w:hAnsi="Times New Roman" w:cs="Times New Roman"/>
                <w:color w:val="auto"/>
                <w:kern w:val="2"/>
                <w:sz w:val="21"/>
                <w:szCs w:val="21"/>
              </w:rPr>
            </w:pPr>
            <w:r>
              <w:rPr>
                <w:rFonts w:hint="eastAsia" w:ascii="Times New Roman" w:hAnsi="Times New Roman" w:cs="Times New Roman"/>
                <w:color w:val="auto"/>
                <w:sz w:val="21"/>
                <w:szCs w:val="21"/>
              </w:rPr>
              <w:t>邮政编码</w:t>
            </w:r>
          </w:p>
        </w:tc>
        <w:tc>
          <w:tcPr>
            <w:tcW w:w="2273" w:type="dxa"/>
            <w:gridSpan w:val="3"/>
            <w:shd w:val="clear" w:color="auto" w:fill="auto"/>
            <w:vAlign w:val="center"/>
          </w:tcPr>
          <w:p>
            <w:pPr>
              <w:pStyle w:val="36"/>
              <w:ind w:firstLine="420"/>
              <w:jc w:val="center"/>
              <w:rPr>
                <w:rFonts w:ascii="Times New Roman" w:hAnsi="Times New Roman" w:cs="Times New Roman"/>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9" w:hRule="atLeast"/>
        </w:trPr>
        <w:tc>
          <w:tcPr>
            <w:tcW w:w="2258" w:type="dxa"/>
            <w:gridSpan w:val="2"/>
            <w:shd w:val="clear" w:color="auto" w:fill="auto"/>
            <w:vAlign w:val="center"/>
          </w:tcPr>
          <w:p>
            <w:pPr>
              <w:pStyle w:val="36"/>
              <w:jc w:val="both"/>
              <w:rPr>
                <w:rFonts w:ascii="Times New Roman" w:hAnsi="Times New Roman" w:cs="Times New Roman"/>
                <w:color w:val="auto"/>
                <w:kern w:val="2"/>
                <w:sz w:val="21"/>
                <w:szCs w:val="21"/>
              </w:rPr>
            </w:pPr>
            <w:r>
              <w:rPr>
                <w:rFonts w:hint="eastAsia" w:ascii="Times New Roman" w:hAnsi="Times New Roman" w:cs="Times New Roman"/>
                <w:color w:val="auto"/>
                <w:sz w:val="21"/>
                <w:szCs w:val="21"/>
              </w:rPr>
              <w:t>联系人</w:t>
            </w:r>
          </w:p>
        </w:tc>
        <w:tc>
          <w:tcPr>
            <w:tcW w:w="2275" w:type="dxa"/>
            <w:gridSpan w:val="4"/>
            <w:shd w:val="clear" w:color="auto" w:fill="auto"/>
            <w:vAlign w:val="center"/>
          </w:tcPr>
          <w:p>
            <w:pPr>
              <w:pStyle w:val="36"/>
              <w:ind w:firstLine="420"/>
              <w:jc w:val="center"/>
              <w:rPr>
                <w:rFonts w:ascii="Times New Roman" w:hAnsi="Times New Roman" w:cs="Times New Roman"/>
                <w:color w:val="auto"/>
                <w:sz w:val="21"/>
                <w:szCs w:val="21"/>
              </w:rPr>
            </w:pPr>
          </w:p>
        </w:tc>
        <w:tc>
          <w:tcPr>
            <w:tcW w:w="2267" w:type="dxa"/>
            <w:gridSpan w:val="2"/>
            <w:shd w:val="clear" w:color="auto" w:fill="auto"/>
            <w:vAlign w:val="center"/>
          </w:tcPr>
          <w:p>
            <w:pPr>
              <w:pStyle w:val="36"/>
              <w:jc w:val="center"/>
              <w:rPr>
                <w:rFonts w:ascii="Times New Roman" w:hAnsi="Times New Roman" w:cs="Times New Roman"/>
                <w:color w:val="auto"/>
                <w:kern w:val="2"/>
                <w:sz w:val="21"/>
                <w:szCs w:val="21"/>
              </w:rPr>
            </w:pPr>
            <w:r>
              <w:rPr>
                <w:rFonts w:hint="eastAsia" w:ascii="Times New Roman" w:hAnsi="Times New Roman" w:cs="Times New Roman"/>
                <w:color w:val="auto"/>
                <w:sz w:val="21"/>
                <w:szCs w:val="21"/>
              </w:rPr>
              <w:t>联系电话</w:t>
            </w:r>
          </w:p>
        </w:tc>
        <w:tc>
          <w:tcPr>
            <w:tcW w:w="2273" w:type="dxa"/>
            <w:gridSpan w:val="3"/>
            <w:shd w:val="clear" w:color="auto" w:fill="auto"/>
            <w:vAlign w:val="center"/>
          </w:tcPr>
          <w:p>
            <w:pPr>
              <w:pStyle w:val="36"/>
              <w:ind w:firstLine="420"/>
              <w:jc w:val="center"/>
              <w:rPr>
                <w:rFonts w:ascii="Times New Roman" w:hAnsi="Times New Roman" w:cs="Times New Roman"/>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9" w:hRule="atLeast"/>
        </w:trPr>
        <w:tc>
          <w:tcPr>
            <w:tcW w:w="2258" w:type="dxa"/>
            <w:gridSpan w:val="2"/>
            <w:shd w:val="clear" w:color="auto" w:fill="auto"/>
            <w:vAlign w:val="center"/>
          </w:tcPr>
          <w:p>
            <w:pPr>
              <w:pStyle w:val="36"/>
              <w:jc w:val="both"/>
              <w:rPr>
                <w:rFonts w:ascii="Times New Roman" w:hAnsi="Times New Roman" w:cs="Times New Roman"/>
                <w:color w:val="auto"/>
                <w:kern w:val="2"/>
                <w:sz w:val="21"/>
                <w:szCs w:val="21"/>
              </w:rPr>
            </w:pPr>
            <w:r>
              <w:rPr>
                <w:rFonts w:hint="eastAsia" w:ascii="Times New Roman" w:hAnsi="Times New Roman" w:cs="Times New Roman"/>
                <w:color w:val="auto"/>
                <w:sz w:val="21"/>
                <w:szCs w:val="21"/>
              </w:rPr>
              <w:t>传真</w:t>
            </w:r>
          </w:p>
        </w:tc>
        <w:tc>
          <w:tcPr>
            <w:tcW w:w="2275" w:type="dxa"/>
            <w:gridSpan w:val="4"/>
            <w:shd w:val="clear" w:color="auto" w:fill="auto"/>
            <w:vAlign w:val="center"/>
          </w:tcPr>
          <w:p>
            <w:pPr>
              <w:pStyle w:val="36"/>
              <w:ind w:firstLine="420"/>
              <w:jc w:val="center"/>
              <w:rPr>
                <w:rFonts w:ascii="Times New Roman" w:hAnsi="Times New Roman" w:cs="Times New Roman"/>
                <w:color w:val="auto"/>
                <w:sz w:val="21"/>
                <w:szCs w:val="21"/>
              </w:rPr>
            </w:pPr>
          </w:p>
        </w:tc>
        <w:tc>
          <w:tcPr>
            <w:tcW w:w="2267" w:type="dxa"/>
            <w:gridSpan w:val="2"/>
            <w:shd w:val="clear" w:color="auto" w:fill="auto"/>
            <w:vAlign w:val="center"/>
          </w:tcPr>
          <w:p>
            <w:pPr>
              <w:pStyle w:val="36"/>
              <w:jc w:val="center"/>
              <w:rPr>
                <w:rFonts w:ascii="Times New Roman" w:hAnsi="Times New Roman" w:cs="Times New Roman"/>
                <w:color w:val="auto"/>
                <w:kern w:val="2"/>
                <w:sz w:val="21"/>
                <w:szCs w:val="21"/>
              </w:rPr>
            </w:pPr>
            <w:r>
              <w:rPr>
                <w:rFonts w:hint="eastAsia" w:ascii="Times New Roman" w:hAnsi="Times New Roman" w:cs="Times New Roman"/>
                <w:color w:val="auto"/>
                <w:sz w:val="21"/>
                <w:szCs w:val="21"/>
              </w:rPr>
              <w:t>电子邮件地址</w:t>
            </w:r>
          </w:p>
        </w:tc>
        <w:tc>
          <w:tcPr>
            <w:tcW w:w="2273" w:type="dxa"/>
            <w:gridSpan w:val="3"/>
            <w:shd w:val="clear" w:color="auto" w:fill="auto"/>
            <w:vAlign w:val="center"/>
          </w:tcPr>
          <w:p>
            <w:pPr>
              <w:pStyle w:val="36"/>
              <w:ind w:firstLine="420"/>
              <w:jc w:val="center"/>
              <w:rPr>
                <w:rFonts w:ascii="Times New Roman" w:hAnsi="Times New Roman" w:cs="Times New Roman"/>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9" w:hRule="atLeast"/>
        </w:trPr>
        <w:tc>
          <w:tcPr>
            <w:tcW w:w="2258" w:type="dxa"/>
            <w:gridSpan w:val="2"/>
            <w:shd w:val="clear" w:color="auto" w:fill="auto"/>
            <w:vAlign w:val="center"/>
          </w:tcPr>
          <w:p>
            <w:pPr>
              <w:pStyle w:val="36"/>
              <w:jc w:val="both"/>
              <w:rPr>
                <w:rFonts w:ascii="Times New Roman" w:hAnsi="Times New Roman" w:cs="Times New Roman"/>
                <w:color w:val="auto"/>
                <w:kern w:val="2"/>
                <w:sz w:val="21"/>
                <w:szCs w:val="21"/>
              </w:rPr>
            </w:pPr>
            <w:r>
              <w:rPr>
                <w:rFonts w:hint="eastAsia" w:ascii="Times New Roman" w:hAnsi="Times New Roman" w:cs="Times New Roman"/>
                <w:color w:val="auto"/>
                <w:sz w:val="21"/>
                <w:szCs w:val="21"/>
              </w:rPr>
              <w:t>通讯地址</w:t>
            </w:r>
          </w:p>
        </w:tc>
        <w:tc>
          <w:tcPr>
            <w:tcW w:w="6815" w:type="dxa"/>
            <w:gridSpan w:val="9"/>
            <w:shd w:val="clear" w:color="auto" w:fill="auto"/>
            <w:vAlign w:val="center"/>
          </w:tcPr>
          <w:p>
            <w:pPr>
              <w:pStyle w:val="36"/>
              <w:ind w:firstLine="420"/>
              <w:jc w:val="center"/>
              <w:rPr>
                <w:rFonts w:ascii="Times New Roman" w:hAnsi="Times New Roman" w:cs="Times New Roman"/>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9" w:hRule="atLeast"/>
        </w:trPr>
        <w:tc>
          <w:tcPr>
            <w:tcW w:w="9073" w:type="dxa"/>
            <w:gridSpan w:val="11"/>
            <w:shd w:val="clear" w:color="auto" w:fill="auto"/>
            <w:vAlign w:val="center"/>
          </w:tcPr>
          <w:p>
            <w:pPr>
              <w:pStyle w:val="36"/>
              <w:jc w:val="center"/>
              <w:rPr>
                <w:rFonts w:ascii="Times New Roman" w:hAnsi="Times New Roman" w:cs="Times New Roman"/>
                <w:b/>
                <w:color w:val="auto"/>
                <w:sz w:val="21"/>
                <w:szCs w:val="21"/>
              </w:rPr>
            </w:pPr>
            <w:r>
              <w:rPr>
                <w:rFonts w:hint="eastAsia" w:ascii="Times New Roman" w:hAnsi="Times New Roman" w:cs="Times New Roman"/>
                <w:b/>
                <w:color w:val="auto"/>
                <w:sz w:val="21"/>
                <w:szCs w:val="21"/>
              </w:rPr>
              <w:t>申请机构人员信息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9" w:hRule="atLeast"/>
        </w:trPr>
        <w:tc>
          <w:tcPr>
            <w:tcW w:w="1697" w:type="dxa"/>
            <w:shd w:val="clear" w:color="auto" w:fill="auto"/>
            <w:vAlign w:val="center"/>
          </w:tcPr>
          <w:p>
            <w:pPr>
              <w:pStyle w:val="36"/>
              <w:tabs>
                <w:tab w:val="center" w:pos="4153"/>
                <w:tab w:val="right" w:pos="8306"/>
              </w:tabs>
              <w:snapToGrid w:val="0"/>
              <w:jc w:val="center"/>
              <w:rPr>
                <w:rFonts w:hAnsi="仿宋" w:cs="Times New Roman"/>
                <w:color w:val="auto"/>
                <w:sz w:val="21"/>
                <w:szCs w:val="21"/>
              </w:rPr>
            </w:pPr>
            <w:r>
              <w:rPr>
                <w:rFonts w:hint="eastAsia" w:hAnsi="仿宋" w:cs="Times New Roman"/>
                <w:sz w:val="21"/>
                <w:szCs w:val="21"/>
              </w:rPr>
              <w:t>联系人</w:t>
            </w:r>
          </w:p>
        </w:tc>
        <w:tc>
          <w:tcPr>
            <w:tcW w:w="1275" w:type="dxa"/>
            <w:gridSpan w:val="2"/>
            <w:shd w:val="clear" w:color="auto" w:fill="auto"/>
            <w:vAlign w:val="center"/>
          </w:tcPr>
          <w:p>
            <w:pPr>
              <w:pStyle w:val="36"/>
              <w:tabs>
                <w:tab w:val="center" w:pos="4153"/>
                <w:tab w:val="right" w:pos="8306"/>
              </w:tabs>
              <w:snapToGrid w:val="0"/>
              <w:jc w:val="center"/>
              <w:rPr>
                <w:rFonts w:hAnsi="仿宋" w:cs="Times New Roman"/>
                <w:color w:val="auto"/>
                <w:sz w:val="21"/>
                <w:szCs w:val="21"/>
              </w:rPr>
            </w:pPr>
            <w:r>
              <w:rPr>
                <w:rFonts w:hint="eastAsia" w:hAnsi="仿宋" w:cs="Times New Roman"/>
                <w:sz w:val="21"/>
                <w:szCs w:val="21"/>
              </w:rPr>
              <w:t>姓名</w:t>
            </w:r>
          </w:p>
        </w:tc>
        <w:tc>
          <w:tcPr>
            <w:tcW w:w="1274" w:type="dxa"/>
            <w:shd w:val="clear" w:color="auto" w:fill="auto"/>
            <w:vAlign w:val="center"/>
          </w:tcPr>
          <w:p>
            <w:pPr>
              <w:pStyle w:val="36"/>
              <w:tabs>
                <w:tab w:val="center" w:pos="4153"/>
                <w:tab w:val="right" w:pos="8306"/>
              </w:tabs>
              <w:snapToGrid w:val="0"/>
              <w:jc w:val="center"/>
              <w:rPr>
                <w:rFonts w:hAnsi="仿宋" w:cs="Times New Roman"/>
                <w:color w:val="auto"/>
                <w:sz w:val="21"/>
                <w:szCs w:val="21"/>
              </w:rPr>
            </w:pPr>
            <w:r>
              <w:rPr>
                <w:rFonts w:hint="eastAsia" w:hAnsi="仿宋" w:cs="Times New Roman"/>
                <w:sz w:val="21"/>
                <w:szCs w:val="21"/>
              </w:rPr>
              <w:t>电话</w:t>
            </w:r>
          </w:p>
        </w:tc>
        <w:tc>
          <w:tcPr>
            <w:tcW w:w="1700" w:type="dxa"/>
            <w:gridSpan w:val="3"/>
            <w:shd w:val="clear" w:color="auto" w:fill="auto"/>
            <w:vAlign w:val="center"/>
          </w:tcPr>
          <w:p>
            <w:pPr>
              <w:pStyle w:val="36"/>
              <w:tabs>
                <w:tab w:val="center" w:pos="4153"/>
                <w:tab w:val="right" w:pos="8306"/>
              </w:tabs>
              <w:snapToGrid w:val="0"/>
              <w:jc w:val="center"/>
              <w:rPr>
                <w:rFonts w:hAnsi="仿宋" w:cs="Times New Roman"/>
                <w:color w:val="auto"/>
                <w:sz w:val="21"/>
                <w:szCs w:val="21"/>
              </w:rPr>
            </w:pPr>
            <w:r>
              <w:rPr>
                <w:rFonts w:hint="eastAsia" w:hAnsi="仿宋" w:cs="Times New Roman"/>
                <w:sz w:val="21"/>
                <w:szCs w:val="21"/>
              </w:rPr>
              <w:t>手机</w:t>
            </w:r>
          </w:p>
        </w:tc>
        <w:tc>
          <w:tcPr>
            <w:tcW w:w="1418" w:type="dxa"/>
            <w:gridSpan w:val="3"/>
            <w:shd w:val="clear" w:color="auto" w:fill="auto"/>
            <w:vAlign w:val="center"/>
          </w:tcPr>
          <w:p>
            <w:pPr>
              <w:pStyle w:val="36"/>
              <w:tabs>
                <w:tab w:val="center" w:pos="4153"/>
                <w:tab w:val="right" w:pos="8306"/>
              </w:tabs>
              <w:snapToGrid w:val="0"/>
              <w:jc w:val="center"/>
              <w:rPr>
                <w:rFonts w:hAnsi="仿宋" w:cs="Times New Roman"/>
                <w:color w:val="auto"/>
                <w:sz w:val="21"/>
                <w:szCs w:val="21"/>
              </w:rPr>
            </w:pPr>
            <w:r>
              <w:rPr>
                <w:rFonts w:hint="eastAsia" w:hAnsi="仿宋" w:cs="Times New Roman"/>
                <w:sz w:val="21"/>
                <w:szCs w:val="21"/>
              </w:rPr>
              <w:t>传真</w:t>
            </w:r>
          </w:p>
        </w:tc>
        <w:tc>
          <w:tcPr>
            <w:tcW w:w="1709" w:type="dxa"/>
            <w:shd w:val="clear" w:color="auto" w:fill="auto"/>
            <w:vAlign w:val="center"/>
          </w:tcPr>
          <w:p>
            <w:pPr>
              <w:pStyle w:val="36"/>
              <w:tabs>
                <w:tab w:val="center" w:pos="4153"/>
                <w:tab w:val="right" w:pos="8306"/>
              </w:tabs>
              <w:snapToGrid w:val="0"/>
              <w:jc w:val="center"/>
              <w:rPr>
                <w:rFonts w:hAnsi="仿宋" w:cs="Times New Roman"/>
                <w:color w:val="auto"/>
              </w:rPr>
            </w:pPr>
            <w:r>
              <w:rPr>
                <w:rFonts w:hAnsi="仿宋" w:cs="Times New Roman"/>
                <w:szCs w:val="21"/>
              </w:rPr>
              <w:t>Email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9" w:hRule="atLeast"/>
        </w:trPr>
        <w:tc>
          <w:tcPr>
            <w:tcW w:w="1697" w:type="dxa"/>
            <w:shd w:val="clear" w:color="auto" w:fill="auto"/>
            <w:vAlign w:val="center"/>
          </w:tcPr>
          <w:p>
            <w:pPr>
              <w:pStyle w:val="36"/>
              <w:jc w:val="center"/>
              <w:rPr>
                <w:rFonts w:ascii="Times New Roman" w:hAnsi="Times New Roman" w:cs="Times New Roman"/>
                <w:sz w:val="21"/>
                <w:szCs w:val="21"/>
              </w:rPr>
            </w:pPr>
            <w:r>
              <w:rPr>
                <w:rFonts w:hint="eastAsia" w:ascii="Times New Roman" w:hAnsi="Times New Roman" w:cs="Times New Roman"/>
                <w:sz w:val="21"/>
                <w:szCs w:val="21"/>
              </w:rPr>
              <w:t>法定代表人</w:t>
            </w:r>
          </w:p>
        </w:tc>
        <w:tc>
          <w:tcPr>
            <w:tcW w:w="1275" w:type="dxa"/>
            <w:gridSpan w:val="2"/>
            <w:shd w:val="clear" w:color="auto" w:fill="auto"/>
            <w:vAlign w:val="center"/>
          </w:tcPr>
          <w:p>
            <w:pPr>
              <w:pStyle w:val="36"/>
              <w:ind w:firstLine="420"/>
              <w:jc w:val="center"/>
              <w:rPr>
                <w:rFonts w:ascii="Times New Roman" w:hAnsi="Times New Roman" w:cs="Times New Roman"/>
                <w:color w:val="auto"/>
                <w:sz w:val="21"/>
                <w:szCs w:val="21"/>
              </w:rPr>
            </w:pPr>
          </w:p>
        </w:tc>
        <w:tc>
          <w:tcPr>
            <w:tcW w:w="1274" w:type="dxa"/>
            <w:shd w:val="clear" w:color="auto" w:fill="auto"/>
            <w:vAlign w:val="center"/>
          </w:tcPr>
          <w:p>
            <w:pPr>
              <w:pStyle w:val="36"/>
              <w:ind w:firstLine="420"/>
              <w:jc w:val="center"/>
              <w:rPr>
                <w:rFonts w:ascii="Times New Roman" w:hAnsi="Times New Roman" w:cs="Times New Roman"/>
                <w:color w:val="auto"/>
                <w:sz w:val="21"/>
                <w:szCs w:val="21"/>
              </w:rPr>
            </w:pPr>
          </w:p>
        </w:tc>
        <w:tc>
          <w:tcPr>
            <w:tcW w:w="1700" w:type="dxa"/>
            <w:gridSpan w:val="3"/>
            <w:shd w:val="clear" w:color="auto" w:fill="auto"/>
            <w:vAlign w:val="center"/>
          </w:tcPr>
          <w:p>
            <w:pPr>
              <w:pStyle w:val="36"/>
              <w:ind w:firstLine="420"/>
              <w:jc w:val="center"/>
              <w:rPr>
                <w:rFonts w:ascii="Times New Roman" w:hAnsi="Times New Roman" w:cs="Times New Roman"/>
                <w:color w:val="auto"/>
                <w:sz w:val="21"/>
                <w:szCs w:val="21"/>
              </w:rPr>
            </w:pPr>
          </w:p>
        </w:tc>
        <w:tc>
          <w:tcPr>
            <w:tcW w:w="1418" w:type="dxa"/>
            <w:gridSpan w:val="3"/>
            <w:shd w:val="clear" w:color="auto" w:fill="auto"/>
            <w:vAlign w:val="center"/>
          </w:tcPr>
          <w:p>
            <w:pPr>
              <w:pStyle w:val="36"/>
              <w:ind w:firstLine="420"/>
              <w:jc w:val="center"/>
              <w:rPr>
                <w:rFonts w:ascii="Times New Roman" w:hAnsi="Times New Roman" w:cs="Times New Roman"/>
                <w:color w:val="auto"/>
                <w:sz w:val="21"/>
                <w:szCs w:val="21"/>
              </w:rPr>
            </w:pPr>
          </w:p>
        </w:tc>
        <w:tc>
          <w:tcPr>
            <w:tcW w:w="1709" w:type="dxa"/>
            <w:shd w:val="clear" w:color="auto" w:fill="auto"/>
            <w:vAlign w:val="center"/>
          </w:tcPr>
          <w:p>
            <w:pPr>
              <w:pStyle w:val="36"/>
              <w:ind w:firstLine="420"/>
              <w:jc w:val="center"/>
              <w:rPr>
                <w:rFonts w:ascii="Times New Roman" w:hAnsi="Times New Roman" w:cs="Times New Roman"/>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9" w:hRule="atLeast"/>
        </w:trPr>
        <w:tc>
          <w:tcPr>
            <w:tcW w:w="1697" w:type="dxa"/>
            <w:shd w:val="clear" w:color="auto" w:fill="auto"/>
            <w:vAlign w:val="center"/>
          </w:tcPr>
          <w:p>
            <w:pPr>
              <w:pStyle w:val="36"/>
              <w:jc w:val="center"/>
              <w:rPr>
                <w:rFonts w:ascii="Times New Roman" w:hAnsi="Times New Roman" w:cs="Times New Roman"/>
                <w:sz w:val="21"/>
                <w:szCs w:val="21"/>
              </w:rPr>
            </w:pPr>
            <w:r>
              <w:rPr>
                <w:rFonts w:hint="eastAsia" w:ascii="Times New Roman" w:hAnsi="Times New Roman" w:cs="Times New Roman"/>
                <w:sz w:val="21"/>
                <w:szCs w:val="21"/>
              </w:rPr>
              <w:t>业务负责人</w:t>
            </w:r>
          </w:p>
        </w:tc>
        <w:tc>
          <w:tcPr>
            <w:tcW w:w="1275" w:type="dxa"/>
            <w:gridSpan w:val="2"/>
            <w:shd w:val="clear" w:color="auto" w:fill="auto"/>
            <w:vAlign w:val="center"/>
          </w:tcPr>
          <w:p>
            <w:pPr>
              <w:pStyle w:val="36"/>
              <w:ind w:firstLine="420"/>
              <w:jc w:val="center"/>
              <w:rPr>
                <w:rFonts w:ascii="Times New Roman" w:hAnsi="Times New Roman" w:cs="Times New Roman"/>
                <w:color w:val="auto"/>
                <w:sz w:val="21"/>
                <w:szCs w:val="21"/>
              </w:rPr>
            </w:pPr>
          </w:p>
        </w:tc>
        <w:tc>
          <w:tcPr>
            <w:tcW w:w="1274" w:type="dxa"/>
            <w:shd w:val="clear" w:color="auto" w:fill="auto"/>
            <w:vAlign w:val="center"/>
          </w:tcPr>
          <w:p>
            <w:pPr>
              <w:pStyle w:val="36"/>
              <w:ind w:firstLine="420"/>
              <w:jc w:val="center"/>
              <w:rPr>
                <w:rFonts w:ascii="Times New Roman" w:hAnsi="Times New Roman" w:cs="Times New Roman"/>
                <w:color w:val="auto"/>
                <w:sz w:val="21"/>
                <w:szCs w:val="21"/>
              </w:rPr>
            </w:pPr>
          </w:p>
        </w:tc>
        <w:tc>
          <w:tcPr>
            <w:tcW w:w="1700" w:type="dxa"/>
            <w:gridSpan w:val="3"/>
            <w:shd w:val="clear" w:color="auto" w:fill="auto"/>
            <w:vAlign w:val="center"/>
          </w:tcPr>
          <w:p>
            <w:pPr>
              <w:pStyle w:val="36"/>
              <w:ind w:firstLine="420"/>
              <w:jc w:val="center"/>
              <w:rPr>
                <w:rFonts w:ascii="Times New Roman" w:hAnsi="Times New Roman" w:cs="Times New Roman"/>
                <w:color w:val="auto"/>
                <w:sz w:val="21"/>
                <w:szCs w:val="21"/>
              </w:rPr>
            </w:pPr>
          </w:p>
        </w:tc>
        <w:tc>
          <w:tcPr>
            <w:tcW w:w="1418" w:type="dxa"/>
            <w:gridSpan w:val="3"/>
            <w:shd w:val="clear" w:color="auto" w:fill="auto"/>
            <w:vAlign w:val="center"/>
          </w:tcPr>
          <w:p>
            <w:pPr>
              <w:pStyle w:val="36"/>
              <w:ind w:firstLine="420"/>
              <w:jc w:val="center"/>
              <w:rPr>
                <w:rFonts w:ascii="Times New Roman" w:hAnsi="Times New Roman" w:cs="Times New Roman"/>
                <w:color w:val="auto"/>
                <w:sz w:val="21"/>
                <w:szCs w:val="21"/>
              </w:rPr>
            </w:pPr>
          </w:p>
        </w:tc>
        <w:tc>
          <w:tcPr>
            <w:tcW w:w="1709" w:type="dxa"/>
            <w:shd w:val="clear" w:color="auto" w:fill="auto"/>
            <w:vAlign w:val="center"/>
          </w:tcPr>
          <w:p>
            <w:pPr>
              <w:pStyle w:val="36"/>
              <w:ind w:firstLine="420"/>
              <w:jc w:val="center"/>
              <w:rPr>
                <w:rFonts w:ascii="Times New Roman" w:hAnsi="Times New Roman" w:cs="Times New Roman"/>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9" w:hRule="atLeast"/>
        </w:trPr>
        <w:tc>
          <w:tcPr>
            <w:tcW w:w="9073" w:type="dxa"/>
            <w:gridSpan w:val="11"/>
            <w:shd w:val="clear" w:color="auto" w:fill="auto"/>
            <w:vAlign w:val="center"/>
          </w:tcPr>
          <w:p>
            <w:pPr>
              <w:pStyle w:val="36"/>
              <w:jc w:val="center"/>
              <w:rPr>
                <w:rFonts w:ascii="Times New Roman" w:hAnsi="Times New Roman" w:cs="Times New Roman"/>
                <w:color w:val="auto"/>
                <w:sz w:val="21"/>
                <w:szCs w:val="21"/>
              </w:rPr>
            </w:pPr>
            <w:r>
              <w:rPr>
                <w:rFonts w:hint="eastAsia" w:ascii="Times New Roman" w:hAnsi="Times New Roman" w:cs="Times New Roman"/>
                <w:b/>
                <w:color w:val="auto"/>
                <w:sz w:val="21"/>
                <w:szCs w:val="21"/>
              </w:rPr>
              <w:t>申请机构财务信息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9" w:hRule="atLeast"/>
        </w:trPr>
        <w:tc>
          <w:tcPr>
            <w:tcW w:w="2258" w:type="dxa"/>
            <w:gridSpan w:val="2"/>
            <w:shd w:val="clear" w:color="auto" w:fill="auto"/>
            <w:vAlign w:val="center"/>
          </w:tcPr>
          <w:p>
            <w:pPr>
              <w:pStyle w:val="36"/>
              <w:jc w:val="center"/>
              <w:rPr>
                <w:rFonts w:ascii="Times New Roman" w:hAnsi="Times New Roman" w:cs="Times New Roman"/>
                <w:b/>
                <w:color w:val="auto"/>
                <w:sz w:val="21"/>
                <w:szCs w:val="21"/>
              </w:rPr>
            </w:pPr>
            <w:r>
              <w:rPr>
                <w:rFonts w:hint="eastAsia" w:hAnsi="仿宋" w:cs="Times New Roman"/>
                <w:sz w:val="21"/>
                <w:szCs w:val="21"/>
              </w:rPr>
              <w:t>项目</w:t>
            </w:r>
          </w:p>
        </w:tc>
        <w:tc>
          <w:tcPr>
            <w:tcW w:w="2275" w:type="dxa"/>
            <w:gridSpan w:val="4"/>
            <w:shd w:val="clear" w:color="auto" w:fill="auto"/>
            <w:vAlign w:val="center"/>
          </w:tcPr>
          <w:p>
            <w:pPr>
              <w:pStyle w:val="36"/>
              <w:jc w:val="center"/>
              <w:rPr>
                <w:rFonts w:ascii="Times New Roman" w:hAnsi="Times New Roman" w:cs="Times New Roman"/>
                <w:b/>
                <w:color w:val="auto"/>
                <w:sz w:val="21"/>
                <w:szCs w:val="21"/>
              </w:rPr>
            </w:pPr>
            <w:r>
              <w:rPr>
                <w:rFonts w:hAnsi="仿宋" w:cs="Times New Roman"/>
                <w:sz w:val="21"/>
                <w:szCs w:val="21"/>
              </w:rPr>
              <w:t>Y</w:t>
            </w:r>
            <w:r>
              <w:rPr>
                <w:rFonts w:hint="eastAsia" w:hAnsi="仿宋" w:cs="Times New Roman"/>
                <w:sz w:val="21"/>
                <w:szCs w:val="21"/>
              </w:rPr>
              <w:t>年（末）</w:t>
            </w:r>
          </w:p>
        </w:tc>
        <w:tc>
          <w:tcPr>
            <w:tcW w:w="2267" w:type="dxa"/>
            <w:gridSpan w:val="2"/>
            <w:shd w:val="clear" w:color="auto" w:fill="auto"/>
            <w:vAlign w:val="center"/>
          </w:tcPr>
          <w:p>
            <w:pPr>
              <w:pStyle w:val="36"/>
              <w:jc w:val="center"/>
              <w:rPr>
                <w:rFonts w:ascii="Times New Roman" w:hAnsi="Times New Roman" w:cs="Times New Roman"/>
                <w:b/>
                <w:color w:val="auto"/>
                <w:sz w:val="21"/>
                <w:szCs w:val="21"/>
              </w:rPr>
            </w:pPr>
            <w:r>
              <w:rPr>
                <w:rFonts w:hAnsi="仿宋" w:cs="Times New Roman"/>
                <w:sz w:val="21"/>
                <w:szCs w:val="21"/>
              </w:rPr>
              <w:t>Y-1</w:t>
            </w:r>
            <w:r>
              <w:rPr>
                <w:rFonts w:hint="eastAsia" w:hAnsi="仿宋" w:cs="Times New Roman"/>
                <w:sz w:val="21"/>
                <w:szCs w:val="21"/>
              </w:rPr>
              <w:t>年（末）</w:t>
            </w:r>
          </w:p>
        </w:tc>
        <w:tc>
          <w:tcPr>
            <w:tcW w:w="2273" w:type="dxa"/>
            <w:gridSpan w:val="3"/>
            <w:shd w:val="clear" w:color="auto" w:fill="auto"/>
            <w:vAlign w:val="center"/>
          </w:tcPr>
          <w:p>
            <w:pPr>
              <w:pStyle w:val="36"/>
              <w:jc w:val="center"/>
              <w:rPr>
                <w:rFonts w:ascii="Times New Roman" w:hAnsi="Times New Roman" w:cs="Times New Roman"/>
                <w:b/>
                <w:color w:val="auto"/>
                <w:sz w:val="21"/>
                <w:szCs w:val="21"/>
              </w:rPr>
            </w:pPr>
            <w:r>
              <w:rPr>
                <w:rFonts w:hAnsi="仿宋" w:cs="Times New Roman"/>
                <w:sz w:val="21"/>
                <w:szCs w:val="21"/>
              </w:rPr>
              <w:t>Y-2</w:t>
            </w:r>
            <w:r>
              <w:rPr>
                <w:rFonts w:hint="eastAsia" w:hAnsi="仿宋" w:cs="Times New Roman"/>
                <w:sz w:val="21"/>
                <w:szCs w:val="21"/>
              </w:rPr>
              <w:t>年（末）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9" w:hRule="atLeast"/>
        </w:trPr>
        <w:tc>
          <w:tcPr>
            <w:tcW w:w="2258" w:type="dxa"/>
            <w:gridSpan w:val="2"/>
            <w:shd w:val="clear" w:color="auto" w:fill="auto"/>
            <w:vAlign w:val="center"/>
          </w:tcPr>
          <w:p>
            <w:pPr>
              <w:pStyle w:val="36"/>
              <w:jc w:val="center"/>
              <w:rPr>
                <w:rFonts w:ascii="Times New Roman" w:hAnsi="Times New Roman" w:cs="Times New Roman"/>
                <w:b/>
                <w:color w:val="auto"/>
                <w:sz w:val="21"/>
                <w:szCs w:val="21"/>
              </w:rPr>
            </w:pPr>
            <w:r>
              <w:rPr>
                <w:rFonts w:hint="eastAsia" w:ascii="Times New Roman" w:hAnsi="Times New Roman" w:cs="Times New Roman"/>
                <w:sz w:val="21"/>
                <w:szCs w:val="21"/>
              </w:rPr>
              <w:t>净资产（亿元）</w:t>
            </w:r>
          </w:p>
        </w:tc>
        <w:tc>
          <w:tcPr>
            <w:tcW w:w="2275" w:type="dxa"/>
            <w:gridSpan w:val="4"/>
            <w:shd w:val="clear" w:color="auto" w:fill="auto"/>
            <w:vAlign w:val="center"/>
          </w:tcPr>
          <w:p>
            <w:pPr>
              <w:pStyle w:val="36"/>
              <w:ind w:firstLine="420"/>
              <w:jc w:val="center"/>
              <w:rPr>
                <w:rFonts w:ascii="Times New Roman" w:hAnsi="Times New Roman" w:cs="Times New Roman"/>
                <w:b/>
                <w:color w:val="auto"/>
                <w:sz w:val="21"/>
                <w:szCs w:val="21"/>
              </w:rPr>
            </w:pPr>
          </w:p>
        </w:tc>
        <w:tc>
          <w:tcPr>
            <w:tcW w:w="2267" w:type="dxa"/>
            <w:gridSpan w:val="2"/>
            <w:shd w:val="clear" w:color="auto" w:fill="auto"/>
            <w:vAlign w:val="center"/>
          </w:tcPr>
          <w:p>
            <w:pPr>
              <w:pStyle w:val="36"/>
              <w:ind w:firstLine="420"/>
              <w:jc w:val="center"/>
              <w:rPr>
                <w:rFonts w:ascii="Times New Roman" w:hAnsi="Times New Roman" w:cs="Times New Roman"/>
                <w:b/>
                <w:color w:val="auto"/>
                <w:sz w:val="21"/>
                <w:szCs w:val="21"/>
              </w:rPr>
            </w:pPr>
          </w:p>
        </w:tc>
        <w:tc>
          <w:tcPr>
            <w:tcW w:w="2273" w:type="dxa"/>
            <w:gridSpan w:val="3"/>
            <w:shd w:val="clear" w:color="auto" w:fill="auto"/>
            <w:vAlign w:val="center"/>
          </w:tcPr>
          <w:p>
            <w:pPr>
              <w:pStyle w:val="36"/>
              <w:ind w:firstLine="420"/>
              <w:jc w:val="center"/>
              <w:rPr>
                <w:rFonts w:ascii="Times New Roman" w:hAnsi="Times New Roman" w:cs="Times New Roman"/>
                <w:b/>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9" w:hRule="atLeast"/>
        </w:trPr>
        <w:tc>
          <w:tcPr>
            <w:tcW w:w="2258" w:type="dxa"/>
            <w:gridSpan w:val="2"/>
            <w:shd w:val="clear" w:color="auto" w:fill="auto"/>
            <w:vAlign w:val="center"/>
          </w:tcPr>
          <w:p>
            <w:pPr>
              <w:pStyle w:val="36"/>
              <w:jc w:val="center"/>
              <w:rPr>
                <w:rFonts w:ascii="Times New Roman" w:hAnsi="Times New Roman" w:cs="Times New Roman"/>
                <w:b/>
                <w:color w:val="auto"/>
                <w:sz w:val="21"/>
                <w:szCs w:val="21"/>
              </w:rPr>
            </w:pPr>
            <w:r>
              <w:rPr>
                <w:rFonts w:hint="eastAsia" w:ascii="Times New Roman" w:hAnsi="Times New Roman" w:cs="Times New Roman"/>
                <w:sz w:val="21"/>
                <w:szCs w:val="21"/>
              </w:rPr>
              <w:t>营业收入（万元）</w:t>
            </w:r>
          </w:p>
        </w:tc>
        <w:tc>
          <w:tcPr>
            <w:tcW w:w="2275" w:type="dxa"/>
            <w:gridSpan w:val="4"/>
            <w:shd w:val="clear" w:color="auto" w:fill="auto"/>
            <w:vAlign w:val="center"/>
          </w:tcPr>
          <w:p>
            <w:pPr>
              <w:pStyle w:val="36"/>
              <w:ind w:firstLine="420"/>
              <w:jc w:val="center"/>
              <w:rPr>
                <w:rFonts w:ascii="Times New Roman" w:hAnsi="Times New Roman" w:cs="Times New Roman"/>
                <w:b/>
                <w:color w:val="auto"/>
                <w:sz w:val="21"/>
                <w:szCs w:val="21"/>
              </w:rPr>
            </w:pPr>
          </w:p>
        </w:tc>
        <w:tc>
          <w:tcPr>
            <w:tcW w:w="2267" w:type="dxa"/>
            <w:gridSpan w:val="2"/>
            <w:shd w:val="clear" w:color="auto" w:fill="auto"/>
            <w:vAlign w:val="center"/>
          </w:tcPr>
          <w:p>
            <w:pPr>
              <w:pStyle w:val="36"/>
              <w:ind w:firstLine="420"/>
              <w:jc w:val="center"/>
              <w:rPr>
                <w:rFonts w:ascii="Times New Roman" w:hAnsi="Times New Roman" w:cs="Times New Roman"/>
                <w:b/>
                <w:color w:val="auto"/>
                <w:sz w:val="21"/>
                <w:szCs w:val="21"/>
              </w:rPr>
            </w:pPr>
          </w:p>
        </w:tc>
        <w:tc>
          <w:tcPr>
            <w:tcW w:w="2273" w:type="dxa"/>
            <w:gridSpan w:val="3"/>
            <w:shd w:val="clear" w:color="auto" w:fill="auto"/>
            <w:vAlign w:val="center"/>
          </w:tcPr>
          <w:p>
            <w:pPr>
              <w:pStyle w:val="36"/>
              <w:ind w:firstLine="420"/>
              <w:jc w:val="center"/>
              <w:rPr>
                <w:rFonts w:ascii="Times New Roman" w:hAnsi="Times New Roman" w:cs="Times New Roman"/>
                <w:b/>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9" w:hRule="atLeast"/>
        </w:trPr>
        <w:tc>
          <w:tcPr>
            <w:tcW w:w="2258" w:type="dxa"/>
            <w:gridSpan w:val="2"/>
            <w:shd w:val="clear" w:color="auto" w:fill="auto"/>
            <w:vAlign w:val="center"/>
          </w:tcPr>
          <w:p>
            <w:pPr>
              <w:pStyle w:val="36"/>
              <w:jc w:val="center"/>
              <w:rPr>
                <w:rFonts w:ascii="Times New Roman" w:hAnsi="Times New Roman" w:cs="Times New Roman"/>
                <w:b/>
                <w:color w:val="auto"/>
                <w:sz w:val="21"/>
                <w:szCs w:val="21"/>
              </w:rPr>
            </w:pPr>
            <w:r>
              <w:rPr>
                <w:rFonts w:hint="eastAsia" w:ascii="Times New Roman" w:hAnsi="Times New Roman" w:cs="Times New Roman"/>
                <w:sz w:val="21"/>
                <w:szCs w:val="21"/>
              </w:rPr>
              <w:t>净利润（万元）</w:t>
            </w:r>
          </w:p>
        </w:tc>
        <w:tc>
          <w:tcPr>
            <w:tcW w:w="2275" w:type="dxa"/>
            <w:gridSpan w:val="4"/>
            <w:shd w:val="clear" w:color="auto" w:fill="auto"/>
            <w:vAlign w:val="center"/>
          </w:tcPr>
          <w:p>
            <w:pPr>
              <w:pStyle w:val="36"/>
              <w:ind w:firstLine="420"/>
              <w:jc w:val="center"/>
              <w:rPr>
                <w:rFonts w:ascii="Times New Roman" w:hAnsi="Times New Roman" w:cs="Times New Roman"/>
                <w:b/>
                <w:color w:val="auto"/>
                <w:sz w:val="21"/>
                <w:szCs w:val="21"/>
              </w:rPr>
            </w:pPr>
          </w:p>
        </w:tc>
        <w:tc>
          <w:tcPr>
            <w:tcW w:w="2267" w:type="dxa"/>
            <w:gridSpan w:val="2"/>
            <w:shd w:val="clear" w:color="auto" w:fill="auto"/>
            <w:vAlign w:val="center"/>
          </w:tcPr>
          <w:p>
            <w:pPr>
              <w:pStyle w:val="36"/>
              <w:ind w:firstLine="420"/>
              <w:jc w:val="center"/>
              <w:rPr>
                <w:rFonts w:ascii="Times New Roman" w:hAnsi="Times New Roman" w:cs="Times New Roman"/>
                <w:b/>
                <w:color w:val="auto"/>
                <w:sz w:val="21"/>
                <w:szCs w:val="21"/>
              </w:rPr>
            </w:pPr>
          </w:p>
        </w:tc>
        <w:tc>
          <w:tcPr>
            <w:tcW w:w="2273" w:type="dxa"/>
            <w:gridSpan w:val="3"/>
            <w:shd w:val="clear" w:color="auto" w:fill="auto"/>
            <w:vAlign w:val="center"/>
          </w:tcPr>
          <w:p>
            <w:pPr>
              <w:pStyle w:val="36"/>
              <w:ind w:firstLine="420"/>
              <w:jc w:val="center"/>
              <w:rPr>
                <w:rFonts w:ascii="Times New Roman" w:hAnsi="Times New Roman" w:cs="Times New Roman"/>
                <w:b/>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296" w:hRule="atLeast"/>
        </w:trPr>
        <w:tc>
          <w:tcPr>
            <w:tcW w:w="9073" w:type="dxa"/>
            <w:gridSpan w:val="11"/>
            <w:shd w:val="clear" w:color="auto" w:fill="auto"/>
          </w:tcPr>
          <w:p>
            <w:pPr>
              <w:pStyle w:val="36"/>
              <w:jc w:val="both"/>
              <w:rPr>
                <w:rFonts w:ascii="Times New Roman" w:hAnsi="Times New Roman" w:cs="Times New Roman"/>
                <w:color w:val="auto"/>
                <w:sz w:val="21"/>
                <w:szCs w:val="21"/>
              </w:rPr>
            </w:pPr>
          </w:p>
          <w:p>
            <w:pPr>
              <w:pStyle w:val="36"/>
              <w:jc w:val="both"/>
              <w:rPr>
                <w:rFonts w:ascii="Times New Roman" w:hAnsi="Times New Roman" w:cs="Times New Roman"/>
                <w:color w:val="auto"/>
                <w:sz w:val="21"/>
                <w:szCs w:val="21"/>
              </w:rPr>
            </w:pPr>
          </w:p>
          <w:p>
            <w:pPr>
              <w:pStyle w:val="36"/>
              <w:jc w:val="both"/>
              <w:rPr>
                <w:rFonts w:ascii="Times New Roman" w:hAnsi="Times New Roman" w:cs="Times New Roman"/>
                <w:color w:val="auto"/>
                <w:sz w:val="21"/>
                <w:szCs w:val="21"/>
              </w:rPr>
            </w:pPr>
          </w:p>
          <w:p>
            <w:pPr>
              <w:pStyle w:val="36"/>
              <w:jc w:val="both"/>
              <w:rPr>
                <w:rFonts w:ascii="Times New Roman" w:hAnsi="Times New Roman" w:cs="Times New Roman"/>
                <w:color w:val="auto"/>
                <w:sz w:val="21"/>
                <w:szCs w:val="21"/>
              </w:rPr>
            </w:pPr>
          </w:p>
          <w:p>
            <w:pPr>
              <w:pStyle w:val="36"/>
              <w:jc w:val="both"/>
              <w:rPr>
                <w:rFonts w:ascii="Times New Roman" w:hAnsi="Times New Roman" w:cs="Times New Roman"/>
                <w:color w:val="auto"/>
                <w:sz w:val="21"/>
                <w:szCs w:val="21"/>
              </w:rPr>
            </w:pPr>
          </w:p>
          <w:p>
            <w:pPr>
              <w:pStyle w:val="36"/>
              <w:jc w:val="both"/>
              <w:rPr>
                <w:rFonts w:ascii="Times New Roman" w:hAnsi="Times New Roman" w:cs="Times New Roman"/>
                <w:color w:val="auto"/>
                <w:sz w:val="21"/>
                <w:szCs w:val="21"/>
              </w:rPr>
            </w:pPr>
          </w:p>
          <w:p>
            <w:pPr>
              <w:pStyle w:val="36"/>
              <w:jc w:val="both"/>
              <w:rPr>
                <w:rFonts w:ascii="Times New Roman" w:hAnsi="Times New Roman" w:cs="Times New Roman"/>
                <w:color w:val="auto"/>
                <w:sz w:val="21"/>
                <w:szCs w:val="21"/>
              </w:rPr>
            </w:pPr>
          </w:p>
          <w:p>
            <w:pPr>
              <w:pStyle w:val="36"/>
              <w:jc w:val="both"/>
              <w:rPr>
                <w:rFonts w:ascii="Times New Roman" w:hAnsi="Times New Roman" w:cs="Times New Roman"/>
                <w:color w:val="auto"/>
                <w:sz w:val="21"/>
                <w:szCs w:val="21"/>
              </w:rPr>
            </w:pPr>
          </w:p>
          <w:p>
            <w:pPr>
              <w:pStyle w:val="36"/>
              <w:jc w:val="both"/>
              <w:rPr>
                <w:rFonts w:ascii="Times New Roman" w:hAnsi="Times New Roman" w:cs="Times New Roman"/>
                <w:color w:val="auto"/>
                <w:sz w:val="21"/>
                <w:szCs w:val="21"/>
              </w:rPr>
            </w:pPr>
            <w:r>
              <w:rPr>
                <w:rFonts w:hint="eastAsia" w:ascii="Times New Roman" w:hAnsi="Times New Roman" w:cs="Times New Roman"/>
                <w:color w:val="auto"/>
                <w:sz w:val="21"/>
                <w:szCs w:val="21"/>
              </w:rPr>
              <w:t>法人代表</w:t>
            </w:r>
            <w:r>
              <w:rPr>
                <w:rFonts w:hint="eastAsia" w:ascii="Times New Roman" w:hAnsi="Times New Roman" w:cs="Times New Roman"/>
                <w:sz w:val="21"/>
                <w:szCs w:val="21"/>
              </w:rPr>
              <w:t>或授权代表签章</w:t>
            </w:r>
            <w:r>
              <w:rPr>
                <w:rFonts w:hint="eastAsia" w:ascii="Times New Roman" w:hAnsi="Times New Roman" w:cs="Times New Roman"/>
                <w:color w:val="auto"/>
                <w:sz w:val="21"/>
                <w:szCs w:val="21"/>
              </w:rPr>
              <w:t>：</w:t>
            </w:r>
            <w:r>
              <w:rPr>
                <w:rFonts w:ascii="Times New Roman" w:hAnsi="Times New Roman" w:cs="Times New Roman"/>
                <w:color w:val="auto"/>
                <w:sz w:val="21"/>
                <w:szCs w:val="21"/>
              </w:rPr>
              <w:t xml:space="preserve">                </w:t>
            </w:r>
            <w:r>
              <w:rPr>
                <w:rFonts w:hint="eastAsia" w:ascii="Times New Roman" w:hAnsi="Times New Roman" w:cs="Times New Roman"/>
                <w:color w:val="auto"/>
                <w:sz w:val="21"/>
                <w:szCs w:val="21"/>
              </w:rPr>
              <w:t>单位</w:t>
            </w:r>
            <w:r>
              <w:rPr>
                <w:rFonts w:hint="eastAsia" w:hAnsi="仿宋"/>
                <w:sz w:val="21"/>
                <w:szCs w:val="21"/>
              </w:rPr>
              <w:t>公章</w:t>
            </w:r>
            <w:r>
              <w:rPr>
                <w:rFonts w:hint="eastAsia" w:ascii="Times New Roman" w:hAnsi="Times New Roman" w:cs="Times New Roman"/>
                <w:color w:val="auto"/>
                <w:sz w:val="21"/>
                <w:szCs w:val="21"/>
              </w:rPr>
              <w:t>：</w:t>
            </w:r>
            <w:r>
              <w:rPr>
                <w:rFonts w:ascii="Times New Roman" w:hAnsi="Times New Roman" w:cs="Times New Roman"/>
                <w:color w:val="auto"/>
                <w:sz w:val="21"/>
                <w:szCs w:val="21"/>
              </w:rPr>
              <w:t xml:space="preserve">       </w:t>
            </w:r>
          </w:p>
          <w:p>
            <w:pPr>
              <w:pStyle w:val="36"/>
              <w:ind w:left="4002" w:leftChars="1906" w:firstLine="210" w:firstLineChars="100"/>
              <w:jc w:val="both"/>
              <w:rPr>
                <w:rFonts w:ascii="Times New Roman" w:hAnsi="Times New Roman" w:cs="Times New Roman"/>
                <w:color w:val="auto"/>
                <w:sz w:val="21"/>
                <w:szCs w:val="21"/>
              </w:rPr>
            </w:pPr>
            <w:r>
              <w:rPr>
                <w:rFonts w:hint="eastAsia" w:ascii="Times New Roman" w:hAnsi="Times New Roman" w:cs="Times New Roman"/>
                <w:color w:val="auto"/>
                <w:sz w:val="21"/>
                <w:szCs w:val="21"/>
              </w:rPr>
              <w:t>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258" w:type="dxa"/>
            <w:gridSpan w:val="2"/>
            <w:tcBorders>
              <w:top w:val="single" w:color="000000" w:sz="8" w:space="0"/>
              <w:left w:val="single" w:color="000000" w:sz="8" w:space="0"/>
              <w:bottom w:val="single" w:color="000000" w:sz="8" w:space="0"/>
              <w:right w:val="single" w:color="000000" w:sz="8" w:space="0"/>
            </w:tcBorders>
            <w:vAlign w:val="center"/>
          </w:tcPr>
          <w:p>
            <w:pPr>
              <w:pStyle w:val="36"/>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经办人</w:t>
            </w:r>
          </w:p>
        </w:tc>
        <w:tc>
          <w:tcPr>
            <w:tcW w:w="2130" w:type="dxa"/>
            <w:gridSpan w:val="3"/>
            <w:tcBorders>
              <w:top w:val="single" w:color="000000" w:sz="8" w:space="0"/>
              <w:left w:val="single" w:color="000000" w:sz="8" w:space="0"/>
              <w:bottom w:val="single" w:color="000000" w:sz="8" w:space="0"/>
              <w:right w:val="single" w:color="000000" w:sz="8" w:space="0"/>
            </w:tcBorders>
            <w:vAlign w:val="center"/>
          </w:tcPr>
          <w:p>
            <w:pPr>
              <w:pStyle w:val="36"/>
              <w:ind w:firstLine="460"/>
              <w:jc w:val="center"/>
              <w:rPr>
                <w:rFonts w:ascii="Times New Roman" w:hAnsi="Times New Roman" w:cs="Times New Roman"/>
                <w:color w:val="auto"/>
                <w:sz w:val="21"/>
                <w:szCs w:val="21"/>
              </w:rPr>
            </w:pPr>
          </w:p>
        </w:tc>
        <w:tc>
          <w:tcPr>
            <w:tcW w:w="2692" w:type="dxa"/>
            <w:gridSpan w:val="4"/>
            <w:tcBorders>
              <w:top w:val="single" w:color="000000" w:sz="8" w:space="0"/>
              <w:left w:val="single" w:color="000000" w:sz="8" w:space="0"/>
              <w:bottom w:val="single" w:color="000000" w:sz="8" w:space="0"/>
              <w:right w:val="single" w:color="000000" w:sz="8" w:space="0"/>
            </w:tcBorders>
            <w:vAlign w:val="center"/>
          </w:tcPr>
          <w:p>
            <w:pPr>
              <w:pStyle w:val="36"/>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联系电话</w:t>
            </w:r>
          </w:p>
        </w:tc>
        <w:tc>
          <w:tcPr>
            <w:tcW w:w="1993" w:type="dxa"/>
            <w:gridSpan w:val="2"/>
            <w:tcBorders>
              <w:top w:val="single" w:color="000000" w:sz="8" w:space="0"/>
              <w:left w:val="single" w:color="000000" w:sz="8" w:space="0"/>
              <w:bottom w:val="single" w:color="000000" w:sz="8" w:space="0"/>
              <w:right w:val="single" w:color="000000" w:sz="8" w:space="0"/>
            </w:tcBorders>
            <w:vAlign w:val="center"/>
          </w:tcPr>
          <w:p>
            <w:pPr>
              <w:pStyle w:val="36"/>
              <w:ind w:firstLine="460"/>
              <w:jc w:val="center"/>
              <w:rPr>
                <w:rFonts w:ascii="Times New Roman" w:hAnsi="Times New Roman" w:cs="Times New Roman"/>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9073" w:type="dxa"/>
            <w:gridSpan w:val="11"/>
            <w:shd w:val="clear" w:color="auto" w:fill="auto"/>
            <w:vAlign w:val="center"/>
          </w:tcPr>
          <w:p>
            <w:pPr>
              <w:tabs>
                <w:tab w:val="center" w:pos="4153"/>
                <w:tab w:val="right" w:pos="8306"/>
              </w:tabs>
              <w:snapToGrid w:val="0"/>
              <w:spacing w:line="360" w:lineRule="exact"/>
              <w:rPr>
                <w:rFonts w:ascii="仿宋" w:hAnsi="仿宋" w:eastAsia="仿宋"/>
                <w:color w:val="000000"/>
                <w:kern w:val="0"/>
                <w:szCs w:val="21"/>
              </w:rPr>
            </w:pPr>
            <w:r>
              <w:rPr>
                <w:rFonts w:hint="eastAsia" w:ascii="仿宋" w:hAnsi="仿宋" w:eastAsia="仿宋"/>
                <w:color w:val="000000"/>
                <w:kern w:val="0"/>
                <w:szCs w:val="21"/>
              </w:rPr>
              <w:t>注：</w:t>
            </w:r>
            <w:r>
              <w:rPr>
                <w:rFonts w:ascii="仿宋" w:hAnsi="仿宋" w:eastAsia="仿宋"/>
                <w:color w:val="000000"/>
                <w:kern w:val="0"/>
                <w:szCs w:val="21"/>
              </w:rPr>
              <w:t xml:space="preserve">1．请在电子版上填写后打印、签字、盖章； </w:t>
            </w:r>
          </w:p>
          <w:p>
            <w:pPr>
              <w:tabs>
                <w:tab w:val="center" w:pos="4153"/>
                <w:tab w:val="right" w:pos="8306"/>
              </w:tabs>
              <w:snapToGrid w:val="0"/>
              <w:spacing w:line="360" w:lineRule="exact"/>
              <w:ind w:firstLine="420" w:firstLineChars="200"/>
              <w:rPr>
                <w:rFonts w:ascii="仿宋" w:hAnsi="仿宋" w:eastAsia="仿宋"/>
                <w:color w:val="000000"/>
                <w:kern w:val="0"/>
                <w:szCs w:val="21"/>
              </w:rPr>
            </w:pPr>
            <w:r>
              <w:rPr>
                <w:rFonts w:ascii="仿宋" w:hAnsi="仿宋" w:eastAsia="仿宋"/>
                <w:color w:val="000000"/>
                <w:kern w:val="0"/>
                <w:szCs w:val="21"/>
              </w:rPr>
              <w:t>2．</w:t>
            </w:r>
            <w:r>
              <w:rPr>
                <w:rFonts w:hint="eastAsia" w:ascii="仿宋" w:hAnsi="仿宋" w:eastAsia="仿宋"/>
                <w:color w:val="000000"/>
                <w:kern w:val="0"/>
                <w:szCs w:val="21"/>
              </w:rPr>
              <w:t>标注</w:t>
            </w:r>
            <w:r>
              <w:rPr>
                <w:rFonts w:ascii="仿宋" w:hAnsi="仿宋" w:eastAsia="仿宋"/>
                <w:color w:val="000000"/>
                <w:kern w:val="0"/>
                <w:szCs w:val="21"/>
              </w:rPr>
              <w:t>*的项目由上海清算所填写</w:t>
            </w:r>
            <w:r>
              <w:rPr>
                <w:rFonts w:hint="eastAsia" w:ascii="仿宋" w:hAnsi="仿宋" w:eastAsia="仿宋"/>
                <w:color w:val="000000"/>
                <w:kern w:val="0"/>
                <w:szCs w:val="21"/>
              </w:rPr>
              <w:t>。</w:t>
            </w:r>
          </w:p>
        </w:tc>
      </w:tr>
    </w:tbl>
    <w:p>
      <w:pPr>
        <w:rPr>
          <w:rFonts w:ascii="仿宋" w:hAnsi="仿宋" w:eastAsia="仿宋"/>
          <w:kern w:val="0"/>
          <w:sz w:val="30"/>
          <w:szCs w:val="30"/>
        </w:rPr>
        <w:sectPr>
          <w:pgSz w:w="11906" w:h="16838"/>
          <w:pgMar w:top="1440" w:right="1800" w:bottom="1440" w:left="1800" w:header="851" w:footer="992" w:gutter="0"/>
          <w:cols w:space="425" w:num="1"/>
          <w:docGrid w:type="lines" w:linePitch="312" w:charSpace="0"/>
        </w:sectPr>
      </w:pPr>
    </w:p>
    <w:p>
      <w:pPr>
        <w:widowControl/>
        <w:spacing w:line="580" w:lineRule="exact"/>
        <w:jc w:val="left"/>
        <w:rPr>
          <w:rFonts w:ascii="黑体" w:hAnsi="宋体" w:eastAsia="黑体"/>
          <w:sz w:val="32"/>
          <w:szCs w:val="32"/>
          <w:lang w:bidi="ar"/>
        </w:rPr>
      </w:pPr>
      <w:r>
        <w:rPr>
          <w:rFonts w:hint="eastAsia" w:ascii="黑体" w:hAnsi="宋体" w:eastAsia="黑体"/>
          <w:sz w:val="32"/>
          <w:szCs w:val="32"/>
          <w:lang w:bidi="ar"/>
        </w:rPr>
        <w:t>附</w:t>
      </w:r>
      <w:r>
        <w:rPr>
          <w:rFonts w:ascii="黑体" w:hAnsi="宋体" w:eastAsia="黑体"/>
          <w:sz w:val="32"/>
          <w:szCs w:val="32"/>
          <w:lang w:bidi="ar"/>
        </w:rPr>
        <w:t>7</w:t>
      </w:r>
    </w:p>
    <w:p>
      <w:pPr>
        <w:spacing w:line="360" w:lineRule="auto"/>
        <w:jc w:val="center"/>
        <w:rPr>
          <w:rFonts w:ascii="宋体" w:hAnsi="宋体" w:cs="宋体"/>
          <w:b/>
          <w:sz w:val="44"/>
          <w:szCs w:val="44"/>
          <w:lang w:bidi="ar"/>
        </w:rPr>
      </w:pPr>
      <w:r>
        <w:rPr>
          <w:rFonts w:hint="eastAsia" w:ascii="宋体" w:hAnsi="宋体" w:cs="宋体"/>
          <w:b/>
          <w:sz w:val="44"/>
          <w:szCs w:val="44"/>
          <w:lang w:bidi="ar"/>
        </w:rPr>
        <w:t>银行间市场清算所股份有限公司</w:t>
      </w:r>
    </w:p>
    <w:p>
      <w:pPr>
        <w:spacing w:line="360" w:lineRule="auto"/>
        <w:jc w:val="center"/>
        <w:rPr>
          <w:rFonts w:ascii="宋体" w:hAnsi="宋体" w:cs="宋体"/>
          <w:b/>
          <w:sz w:val="44"/>
          <w:szCs w:val="44"/>
          <w:lang w:bidi="ar"/>
        </w:rPr>
      </w:pPr>
      <w:r>
        <w:rPr>
          <w:rFonts w:hint="eastAsia" w:ascii="宋体" w:hAnsi="宋体" w:cs="宋体"/>
          <w:b/>
          <w:sz w:val="44"/>
          <w:szCs w:val="44"/>
          <w:lang w:bidi="ar"/>
        </w:rPr>
        <w:t>大宗商品现货清算业务印鉴卡</w:t>
      </w:r>
    </w:p>
    <w:tbl>
      <w:tblPr>
        <w:tblStyle w:val="21"/>
        <w:tblW w:w="934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5"/>
        <w:gridCol w:w="708"/>
        <w:gridCol w:w="1701"/>
        <w:gridCol w:w="639"/>
        <w:gridCol w:w="1913"/>
        <w:gridCol w:w="28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4" w:hRule="atLeast"/>
          <w:jc w:val="center"/>
        </w:trPr>
        <w:tc>
          <w:tcPr>
            <w:tcW w:w="2253" w:type="dxa"/>
            <w:gridSpan w:val="2"/>
            <w:tcBorders>
              <w:bottom w:val="single" w:color="auto" w:sz="6" w:space="0"/>
            </w:tcBorders>
            <w:vAlign w:val="center"/>
          </w:tcPr>
          <w:p>
            <w:pPr>
              <w:jc w:val="center"/>
              <w:rPr>
                <w:rFonts w:ascii="仿宋" w:hAnsi="仿宋" w:eastAsia="仿宋"/>
                <w:sz w:val="24"/>
                <w:szCs w:val="24"/>
              </w:rPr>
            </w:pPr>
            <w:r>
              <w:rPr>
                <w:rFonts w:hint="eastAsia" w:ascii="仿宋" w:hAnsi="仿宋" w:eastAsia="仿宋"/>
                <w:sz w:val="24"/>
                <w:szCs w:val="24"/>
              </w:rPr>
              <w:t>机构名称（全称）</w:t>
            </w:r>
          </w:p>
        </w:tc>
        <w:tc>
          <w:tcPr>
            <w:tcW w:w="7094" w:type="dxa"/>
            <w:gridSpan w:val="4"/>
            <w:tcBorders>
              <w:bottom w:val="single" w:color="auto" w:sz="6" w:space="0"/>
            </w:tcBorders>
            <w:vAlign w:val="center"/>
          </w:tcPr>
          <w:p>
            <w:pPr>
              <w:jc w:val="center"/>
              <w:rPr>
                <w:rFonts w:ascii="Times New Roman" w:hAnsi="Times New Roman"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4" w:hRule="atLeast"/>
          <w:jc w:val="center"/>
        </w:trPr>
        <w:tc>
          <w:tcPr>
            <w:tcW w:w="2253" w:type="dxa"/>
            <w:gridSpan w:val="2"/>
            <w:tcBorders>
              <w:top w:val="single" w:color="auto" w:sz="6" w:space="0"/>
              <w:bottom w:val="single" w:color="auto" w:sz="6" w:space="0"/>
            </w:tcBorders>
            <w:vAlign w:val="center"/>
          </w:tcPr>
          <w:p>
            <w:pPr>
              <w:jc w:val="center"/>
              <w:rPr>
                <w:rFonts w:ascii="仿宋" w:hAnsi="仿宋" w:eastAsia="仿宋"/>
                <w:sz w:val="24"/>
                <w:szCs w:val="24"/>
              </w:rPr>
            </w:pPr>
            <w:r>
              <w:rPr>
                <w:rFonts w:hint="eastAsia" w:ascii="仿宋" w:hAnsi="仿宋" w:eastAsia="仿宋"/>
                <w:sz w:val="24"/>
                <w:szCs w:val="24"/>
              </w:rPr>
              <w:t>持有人</w:t>
            </w:r>
            <w:r>
              <w:rPr>
                <w:rFonts w:ascii="仿宋" w:hAnsi="仿宋" w:eastAsia="仿宋"/>
                <w:sz w:val="24"/>
                <w:szCs w:val="24"/>
              </w:rPr>
              <w:t>账户账号</w:t>
            </w:r>
          </w:p>
        </w:tc>
        <w:tc>
          <w:tcPr>
            <w:tcW w:w="2340" w:type="dxa"/>
            <w:gridSpan w:val="2"/>
            <w:tcBorders>
              <w:top w:val="single" w:color="auto" w:sz="6" w:space="0"/>
              <w:bottom w:val="single" w:color="auto" w:sz="6" w:space="0"/>
              <w:right w:val="single" w:color="auto" w:sz="4" w:space="0"/>
            </w:tcBorders>
            <w:vAlign w:val="center"/>
          </w:tcPr>
          <w:p>
            <w:pPr>
              <w:jc w:val="center"/>
              <w:rPr>
                <w:rFonts w:ascii="Times New Roman" w:hAnsi="Times New Roman" w:eastAsia="仿宋"/>
              </w:rPr>
            </w:pPr>
          </w:p>
        </w:tc>
        <w:tc>
          <w:tcPr>
            <w:tcW w:w="191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
              </w:rPr>
            </w:pPr>
            <w:r>
              <w:rPr>
                <w:rFonts w:hint="eastAsia" w:ascii="仿宋" w:hAnsi="仿宋" w:eastAsia="仿宋"/>
                <w:sz w:val="24"/>
                <w:szCs w:val="24"/>
              </w:rPr>
              <w:t>现货平台编号</w:t>
            </w:r>
            <w:r>
              <w:rPr>
                <w:rFonts w:ascii="仿宋" w:hAnsi="仿宋" w:eastAsia="仿宋"/>
                <w:sz w:val="24"/>
                <w:szCs w:val="24"/>
              </w:rPr>
              <w:t>*</w:t>
            </w:r>
          </w:p>
        </w:tc>
        <w:tc>
          <w:tcPr>
            <w:tcW w:w="2841" w:type="dxa"/>
            <w:tcBorders>
              <w:top w:val="single" w:color="auto" w:sz="6" w:space="0"/>
              <w:left w:val="single" w:color="auto" w:sz="4" w:space="0"/>
              <w:bottom w:val="single" w:color="auto" w:sz="6" w:space="0"/>
            </w:tcBorders>
            <w:vAlign w:val="center"/>
          </w:tcPr>
          <w:p>
            <w:pPr>
              <w:jc w:val="center"/>
              <w:rPr>
                <w:rFonts w:ascii="Times New Roman" w:hAnsi="Times New Roman"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187" w:hRule="atLeast"/>
          <w:jc w:val="center"/>
        </w:trPr>
        <w:tc>
          <w:tcPr>
            <w:tcW w:w="9347" w:type="dxa"/>
            <w:gridSpan w:val="6"/>
          </w:tcPr>
          <w:p>
            <w:pPr>
              <w:spacing w:line="360" w:lineRule="auto"/>
              <w:rPr>
                <w:rFonts w:ascii="Times New Roman" w:hAnsi="Times New Roman" w:eastAsia="仿宋"/>
                <w:sz w:val="24"/>
              </w:rPr>
            </w:pPr>
            <w:r>
              <w:rPr>
                <w:rFonts w:hint="eastAsia" w:ascii="Times New Roman" w:hAnsi="Times New Roman" w:eastAsia="仿宋"/>
                <w:sz w:val="24"/>
              </w:rPr>
              <w:t>印模：（请清晰居中盖章，勿与其他字迹或边线重叠）</w:t>
            </w:r>
          </w:p>
          <w:p>
            <w:pPr>
              <w:spacing w:line="360" w:lineRule="auto"/>
              <w:rPr>
                <w:rFonts w:ascii="Times New Roman" w:hAnsi="Times New Roman" w:eastAsia="仿宋"/>
                <w:sz w:val="24"/>
              </w:rPr>
            </w:pPr>
          </w:p>
          <w:p>
            <w:pPr>
              <w:spacing w:line="360" w:lineRule="auto"/>
              <w:rPr>
                <w:rFonts w:ascii="Times New Roman" w:hAnsi="Times New Roman" w:eastAsia="仿宋"/>
                <w:sz w:val="24"/>
              </w:rPr>
            </w:pPr>
          </w:p>
          <w:p>
            <w:pPr>
              <w:spacing w:line="360" w:lineRule="auto"/>
              <w:rPr>
                <w:rFonts w:ascii="Times New Roman" w:hAnsi="Times New Roman" w:eastAsia="仿宋"/>
                <w:sz w:val="24"/>
              </w:rPr>
            </w:pPr>
          </w:p>
          <w:p>
            <w:pPr>
              <w:spacing w:line="360" w:lineRule="auto"/>
              <w:rPr>
                <w:rFonts w:ascii="Times New Roman" w:hAnsi="Times New Roman" w:eastAsia="仿宋"/>
                <w:sz w:val="24"/>
              </w:rPr>
            </w:pPr>
          </w:p>
          <w:p>
            <w:pPr>
              <w:spacing w:line="360" w:lineRule="auto"/>
              <w:rPr>
                <w:rFonts w:ascii="Times New Roman" w:hAnsi="Times New Roman" w:eastAsia="仿宋"/>
                <w:sz w:val="24"/>
              </w:rPr>
            </w:pPr>
          </w:p>
          <w:p>
            <w:pPr>
              <w:spacing w:line="360" w:lineRule="auto"/>
              <w:rPr>
                <w:rFonts w:ascii="Times New Roman" w:hAnsi="Times New Roman" w:eastAsia="仿宋"/>
                <w:sz w:val="24"/>
              </w:rPr>
            </w:pPr>
          </w:p>
          <w:p>
            <w:pPr>
              <w:spacing w:line="360" w:lineRule="auto"/>
              <w:rPr>
                <w:rFonts w:ascii="Times New Roman" w:hAnsi="Times New Roman" w:eastAsia="仿宋"/>
                <w:sz w:val="24"/>
              </w:rPr>
            </w:pPr>
          </w:p>
          <w:p>
            <w:pPr>
              <w:spacing w:line="360" w:lineRule="auto"/>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7" w:hRule="atLeast"/>
          <w:jc w:val="center"/>
        </w:trPr>
        <w:tc>
          <w:tcPr>
            <w:tcW w:w="1545" w:type="dxa"/>
            <w:vMerge w:val="restart"/>
            <w:tcBorders>
              <w:right w:val="single" w:color="auto" w:sz="4" w:space="0"/>
            </w:tcBorders>
            <w:vAlign w:val="center"/>
          </w:tcPr>
          <w:p>
            <w:pPr>
              <w:rPr>
                <w:rFonts w:ascii="Times New Roman" w:hAnsi="Times New Roman" w:eastAsia="仿宋"/>
                <w:sz w:val="24"/>
              </w:rPr>
            </w:pPr>
            <w:r>
              <w:rPr>
                <w:rFonts w:hint="eastAsia" w:ascii="Times New Roman" w:hAnsi="Times New Roman" w:eastAsia="仿宋"/>
                <w:sz w:val="24"/>
              </w:rPr>
              <w:t>使用范畴</w:t>
            </w:r>
          </w:p>
          <w:p>
            <w:pPr>
              <w:jc w:val="center"/>
              <w:rPr>
                <w:rFonts w:ascii="Times New Roman" w:hAnsi="Times New Roman" w:eastAsia="仿宋"/>
                <w:sz w:val="24"/>
              </w:rPr>
            </w:pPr>
            <w:r>
              <w:rPr>
                <w:rFonts w:hint="eastAsia" w:ascii="Times New Roman" w:hAnsi="Times New Roman" w:eastAsia="仿宋"/>
                <w:sz w:val="24"/>
              </w:rPr>
              <w:t>（可多选</w:t>
            </w:r>
            <w:r>
              <w:rPr>
                <w:rFonts w:ascii="Times New Roman" w:hAnsi="Times New Roman" w:eastAsia="仿宋"/>
                <w:sz w:val="24"/>
              </w:rPr>
              <w:t>）</w:t>
            </w:r>
          </w:p>
        </w:tc>
        <w:tc>
          <w:tcPr>
            <w:tcW w:w="2409" w:type="dxa"/>
            <w:gridSpan w:val="2"/>
            <w:vMerge w:val="restart"/>
            <w:tcBorders>
              <w:left w:val="single" w:color="auto" w:sz="4" w:space="0"/>
            </w:tcBorders>
            <w:vAlign w:val="center"/>
          </w:tcPr>
          <w:p>
            <w:pPr>
              <w:widowControl/>
              <w:jc w:val="left"/>
              <w:rPr>
                <w:rFonts w:ascii="Times New Roman" w:hAnsi="Times New Roman" w:eastAsia="仿宋"/>
                <w:sz w:val="24"/>
              </w:rPr>
            </w:pPr>
            <w:r>
              <w:rPr>
                <w:rFonts w:hint="eastAsia" w:ascii="仿宋" w:hAnsi="仿宋" w:eastAsia="仿宋"/>
                <w:color w:val="000000"/>
                <w:kern w:val="0"/>
                <w:sz w:val="24"/>
                <w:szCs w:val="24"/>
              </w:rPr>
              <w:t>□境内业务</w:t>
            </w:r>
          </w:p>
          <w:p>
            <w:pPr>
              <w:rPr>
                <w:rFonts w:ascii="Times New Roman" w:hAnsi="Times New Roman" w:eastAsia="仿宋"/>
                <w:sz w:val="24"/>
              </w:rPr>
            </w:pPr>
            <w:r>
              <w:rPr>
                <w:rFonts w:hint="eastAsia" w:ascii="仿宋" w:hAnsi="仿宋" w:eastAsia="仿宋"/>
                <w:color w:val="000000"/>
                <w:kern w:val="0"/>
                <w:sz w:val="24"/>
                <w:szCs w:val="24"/>
              </w:rPr>
              <w:t>□上海</w:t>
            </w:r>
            <w:r>
              <w:rPr>
                <w:rFonts w:ascii="仿宋" w:hAnsi="仿宋" w:eastAsia="仿宋"/>
                <w:color w:val="000000"/>
                <w:kern w:val="0"/>
                <w:sz w:val="24"/>
                <w:szCs w:val="24"/>
              </w:rPr>
              <w:t>自贸区</w:t>
            </w:r>
            <w:r>
              <w:rPr>
                <w:rFonts w:hint="eastAsia" w:ascii="仿宋" w:hAnsi="仿宋" w:eastAsia="仿宋"/>
                <w:color w:val="000000"/>
                <w:kern w:val="0"/>
                <w:sz w:val="24"/>
                <w:szCs w:val="24"/>
              </w:rPr>
              <w:t>业务</w:t>
            </w:r>
          </w:p>
        </w:tc>
        <w:tc>
          <w:tcPr>
            <w:tcW w:w="5393" w:type="dxa"/>
            <w:gridSpan w:val="3"/>
          </w:tcPr>
          <w:p>
            <w:pPr>
              <w:rPr>
                <w:rFonts w:ascii="Times New Roman" w:hAnsi="Times New Roman" w:eastAsia="仿宋"/>
                <w:sz w:val="24"/>
              </w:rPr>
            </w:pPr>
            <w:r>
              <w:rPr>
                <w:rFonts w:hint="eastAsia" w:ascii="Times New Roman" w:hAnsi="Times New Roman" w:eastAsia="仿宋"/>
                <w:sz w:val="24"/>
              </w:rPr>
              <w:t>共</w:t>
            </w:r>
            <w:r>
              <w:rPr>
                <w:rFonts w:ascii="Times New Roman" w:hAnsi="Times New Roman" w:eastAsia="仿宋"/>
                <w:sz w:val="24"/>
              </w:rPr>
              <w:t xml:space="preserve">    </w:t>
            </w:r>
            <w:r>
              <w:rPr>
                <w:rFonts w:hint="eastAsia" w:ascii="Times New Roman" w:hAnsi="Times New Roman" w:eastAsia="仿宋"/>
                <w:sz w:val="24"/>
              </w:rPr>
              <w:t>章，凭业务章</w:t>
            </w:r>
            <w:r>
              <w:rPr>
                <w:rFonts w:ascii="Times New Roman" w:hAnsi="Times New Roman" w:eastAsia="仿宋"/>
                <w:sz w:val="24"/>
              </w:rPr>
              <w:t xml:space="preserve">    </w:t>
            </w:r>
            <w:r>
              <w:rPr>
                <w:rFonts w:hint="eastAsia" w:ascii="Times New Roman" w:hAnsi="Times New Roman" w:eastAsia="仿宋"/>
                <w:sz w:val="24"/>
              </w:rPr>
              <w:t>章，私章</w:t>
            </w:r>
            <w:r>
              <w:rPr>
                <w:rFonts w:ascii="Times New Roman" w:hAnsi="Times New Roman" w:eastAsia="仿宋"/>
                <w:sz w:val="24"/>
              </w:rPr>
              <w:t xml:space="preserve">    </w:t>
            </w:r>
            <w:r>
              <w:rPr>
                <w:rFonts w:hint="eastAsia" w:ascii="Times New Roman" w:hAnsi="Times New Roman" w:eastAsia="仿宋"/>
                <w:sz w:val="24"/>
              </w:rPr>
              <w:t>章有效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7" w:hRule="atLeast"/>
          <w:jc w:val="center"/>
        </w:trPr>
        <w:tc>
          <w:tcPr>
            <w:tcW w:w="1545" w:type="dxa"/>
            <w:vMerge w:val="continue"/>
            <w:tcBorders>
              <w:right w:val="single" w:color="auto" w:sz="4" w:space="0"/>
            </w:tcBorders>
          </w:tcPr>
          <w:p>
            <w:pPr>
              <w:spacing w:line="360" w:lineRule="auto"/>
              <w:rPr>
                <w:rFonts w:ascii="Times New Roman" w:hAnsi="Times New Roman" w:eastAsia="仿宋"/>
                <w:sz w:val="24"/>
              </w:rPr>
            </w:pPr>
          </w:p>
        </w:tc>
        <w:tc>
          <w:tcPr>
            <w:tcW w:w="2409" w:type="dxa"/>
            <w:gridSpan w:val="2"/>
            <w:vMerge w:val="continue"/>
            <w:tcBorders>
              <w:left w:val="single" w:color="auto" w:sz="4" w:space="0"/>
            </w:tcBorders>
          </w:tcPr>
          <w:p>
            <w:pPr>
              <w:rPr>
                <w:rFonts w:ascii="Times New Roman" w:hAnsi="Times New Roman" w:eastAsia="仿宋"/>
                <w:sz w:val="24"/>
              </w:rPr>
            </w:pPr>
          </w:p>
        </w:tc>
        <w:tc>
          <w:tcPr>
            <w:tcW w:w="5393" w:type="dxa"/>
            <w:gridSpan w:val="3"/>
          </w:tcPr>
          <w:p>
            <w:pPr>
              <w:rPr>
                <w:rFonts w:ascii="Times New Roman" w:hAnsi="Times New Roman" w:eastAsia="仿宋"/>
                <w:sz w:val="24"/>
              </w:rPr>
            </w:pPr>
            <w:r>
              <w:rPr>
                <w:rFonts w:hint="eastAsia" w:ascii="Times New Roman" w:hAnsi="Times New Roman" w:eastAsia="仿宋"/>
                <w:sz w:val="24"/>
              </w:rPr>
              <w:t>启用日期：</w:t>
            </w:r>
            <w:r>
              <w:rPr>
                <w:rFonts w:ascii="Times New Roman" w:hAnsi="Times New Roman" w:eastAsia="仿宋"/>
                <w:sz w:val="24"/>
              </w:rPr>
              <w:t xml:space="preserve">    </w:t>
            </w:r>
            <w:r>
              <w:rPr>
                <w:rFonts w:hint="eastAsia" w:ascii="Times New Roman" w:hAnsi="Times New Roman" w:eastAsia="仿宋"/>
                <w:sz w:val="24"/>
              </w:rPr>
              <w:t>年</w:t>
            </w:r>
            <w:r>
              <w:rPr>
                <w:rFonts w:ascii="Times New Roman" w:hAnsi="Times New Roman" w:eastAsia="仿宋"/>
                <w:sz w:val="24"/>
              </w:rPr>
              <w:t xml:space="preserve">  </w:t>
            </w:r>
            <w:r>
              <w:rPr>
                <w:rFonts w:hint="eastAsia" w:ascii="Times New Roman" w:hAnsi="Times New Roman" w:eastAsia="仿宋"/>
                <w:sz w:val="24"/>
              </w:rPr>
              <w:t>月</w:t>
            </w:r>
            <w:r>
              <w:rPr>
                <w:rFonts w:ascii="Times New Roman" w:hAnsi="Times New Roman" w:eastAsia="仿宋"/>
                <w:sz w:val="24"/>
              </w:rPr>
              <w:t xml:space="preserve">  </w:t>
            </w:r>
            <w:r>
              <w:rPr>
                <w:rFonts w:hint="eastAsia" w:ascii="Times New Roman" w:hAnsi="Times New Roman" w:eastAsia="仿宋"/>
                <w:sz w:val="24"/>
              </w:rPr>
              <w:t>日</w:t>
            </w:r>
          </w:p>
        </w:tc>
      </w:tr>
    </w:tbl>
    <w:p>
      <w:pPr>
        <w:rPr>
          <w:rFonts w:ascii="Times New Roman" w:hAnsi="Times New Roman"/>
          <w:szCs w:val="21"/>
        </w:rPr>
      </w:pPr>
      <w:r>
        <mc:AlternateContent>
          <mc:Choice Requires="wps">
            <w:drawing>
              <wp:anchor distT="0" distB="0" distL="114300" distR="114300" simplePos="0" relativeHeight="251656192" behindDoc="0" locked="0" layoutInCell="1" allowOverlap="1">
                <wp:simplePos x="0" y="0"/>
                <wp:positionH relativeFrom="column">
                  <wp:posOffset>-301625</wp:posOffset>
                </wp:positionH>
                <wp:positionV relativeFrom="paragraph">
                  <wp:posOffset>102235</wp:posOffset>
                </wp:positionV>
                <wp:extent cx="5913755" cy="9525"/>
                <wp:effectExtent l="0" t="0" r="0" b="9525"/>
                <wp:wrapNone/>
                <wp:docPr id="3" name="AutoShape 3"/>
                <wp:cNvGraphicFramePr/>
                <a:graphic xmlns:a="http://schemas.openxmlformats.org/drawingml/2006/main">
                  <a:graphicData uri="http://schemas.microsoft.com/office/word/2010/wordprocessingShape">
                    <wps:wsp>
                      <wps:cNvCnPr>
                        <a:cxnSpLocks noChangeShapeType="1"/>
                      </wps:cNvCnPr>
                      <wps:spPr bwMode="auto">
                        <a:xfrm>
                          <a:off x="0" y="0"/>
                          <a:ext cx="5913755" cy="9525"/>
                        </a:xfrm>
                        <a:prstGeom prst="bentConnector3">
                          <a:avLst>
                            <a:gd name="adj1" fmla="val 49995"/>
                          </a:avLst>
                        </a:prstGeom>
                        <a:noFill/>
                        <a:ln w="9525">
                          <a:solidFill>
                            <a:srgbClr val="000000"/>
                          </a:solidFill>
                          <a:prstDash val="dash"/>
                          <a:miter lim="800000"/>
                        </a:ln>
                      </wps:spPr>
                      <wps:bodyPr/>
                    </wps:wsp>
                  </a:graphicData>
                </a:graphic>
              </wp:anchor>
            </w:drawing>
          </mc:Choice>
          <mc:Fallback>
            <w:pict>
              <v:shape id="AutoShape 3" o:spid="_x0000_s1026" o:spt="34" type="#_x0000_t34" style="position:absolute;left:0pt;margin-left:-23.75pt;margin-top:8.05pt;height:0.75pt;width:465.65pt;z-index:251656192;mso-width-relative:page;mso-height-relative:page;" filled="f" stroked="t" coordsize="21600,21600" o:gfxdata="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pvbgH2AAAAAkBAAAPAAAAAAAAAAEAIAAAADgAAABkcnMvZG93bnJldi54bWxQSwECFAAU&#10;AAAACACHTuJAhHpYsdsBAAC1AwAADgAAAAAAAAABACAAAAA9AQAAZHJzL2Uyb0RvYy54bWxQSwUG&#10;AAAAAAYABgBZAQAAigUAAAAA&#10;" adj="10799">
                <v:fill on="f" focussize="0,0"/>
                <v:stroke color="#000000" miterlimit="8" joinstyle="miter" dashstyle="dash"/>
                <v:imagedata o:title=""/>
                <o:lock v:ext="edit" aspectratio="f"/>
              </v:shape>
            </w:pict>
          </mc:Fallback>
        </mc:AlternateContent>
      </w:r>
    </w:p>
    <w:p>
      <w:pPr>
        <w:spacing w:line="360" w:lineRule="auto"/>
        <w:jc w:val="center"/>
        <w:rPr>
          <w:rFonts w:ascii="仿宋" w:hAnsi="仿宋" w:eastAsia="仿宋"/>
          <w:b/>
          <w:sz w:val="24"/>
          <w:szCs w:val="24"/>
        </w:rPr>
      </w:pPr>
      <w:r>
        <w:rPr>
          <w:rFonts w:hint="eastAsia" w:ascii="仿宋" w:hAnsi="仿宋" w:eastAsia="仿宋"/>
          <w:b/>
          <w:sz w:val="24"/>
          <w:szCs w:val="24"/>
        </w:rPr>
        <w:t>送存</w:t>
      </w:r>
      <w:r>
        <w:rPr>
          <w:rFonts w:ascii="仿宋" w:hAnsi="仿宋" w:eastAsia="仿宋"/>
          <w:b/>
          <w:sz w:val="24"/>
          <w:szCs w:val="24"/>
        </w:rPr>
        <w:t>/更换</w:t>
      </w:r>
      <w:r>
        <w:rPr>
          <w:rFonts w:hint="eastAsia" w:ascii="仿宋" w:hAnsi="仿宋" w:eastAsia="仿宋"/>
          <w:b/>
          <w:sz w:val="24"/>
          <w:szCs w:val="24"/>
        </w:rPr>
        <w:t>印鉴通知</w:t>
      </w:r>
    </w:p>
    <w:p>
      <w:pPr>
        <w:ind w:firstLine="475" w:firstLineChars="198"/>
        <w:rPr>
          <w:rFonts w:ascii="Times New Roman" w:hAnsi="Times New Roman" w:eastAsia="仿宋"/>
          <w:sz w:val="24"/>
          <w:szCs w:val="24"/>
        </w:rPr>
      </w:pPr>
      <w:r>
        <w:rPr>
          <w:rFonts w:hint="eastAsia" w:ascii="Times New Roman" w:hAnsi="Times New Roman" w:eastAsia="仿宋"/>
          <w:sz w:val="24"/>
          <w:szCs w:val="24"/>
        </w:rPr>
        <w:t>现</w:t>
      </w:r>
      <w:r>
        <w:rPr>
          <w:rFonts w:hint="eastAsia" w:ascii="Times New Roman" w:hAnsi="Times New Roman" w:eastAsia="仿宋"/>
          <w:b/>
          <w:sz w:val="24"/>
          <w:szCs w:val="24"/>
        </w:rPr>
        <w:t>送存</w:t>
      </w:r>
      <w:r>
        <w:rPr>
          <w:rFonts w:ascii="Times New Roman" w:hAnsi="Times New Roman" w:eastAsia="仿宋"/>
          <w:b/>
          <w:sz w:val="24"/>
          <w:szCs w:val="24"/>
        </w:rPr>
        <w:t>/</w:t>
      </w:r>
      <w:r>
        <w:rPr>
          <w:rFonts w:hint="eastAsia" w:ascii="Times New Roman" w:hAnsi="Times New Roman" w:eastAsia="仿宋"/>
          <w:b/>
          <w:sz w:val="24"/>
          <w:szCs w:val="24"/>
        </w:rPr>
        <w:t>更换（机构名称）</w:t>
      </w:r>
      <w:r>
        <w:rPr>
          <w:rFonts w:ascii="Times New Roman" w:hAnsi="Times New Roman" w:eastAsia="仿宋"/>
          <w:sz w:val="24"/>
          <w:szCs w:val="24"/>
          <w:u w:val="single"/>
        </w:rPr>
        <w:t xml:space="preserve">                  </w:t>
      </w:r>
      <w:r>
        <w:rPr>
          <w:rFonts w:hint="eastAsia" w:ascii="Times New Roman" w:hAnsi="Times New Roman" w:eastAsia="仿宋"/>
          <w:sz w:val="24"/>
          <w:szCs w:val="24"/>
        </w:rPr>
        <w:t>大宗商品现货清算业务预留印鉴章，新印鉴加盖在印鉴卡上半部分。新印鉴自</w:t>
      </w:r>
      <w:r>
        <w:rPr>
          <w:rFonts w:ascii="Times New Roman" w:hAnsi="Times New Roman" w:eastAsia="仿宋"/>
          <w:sz w:val="24"/>
          <w:szCs w:val="24"/>
          <w:u w:val="single"/>
        </w:rPr>
        <w:t xml:space="preserve">     </w:t>
      </w:r>
      <w:r>
        <w:rPr>
          <w:rFonts w:hint="eastAsia" w:ascii="Times New Roman" w:hAnsi="Times New Roman" w:eastAsia="仿宋"/>
          <w:sz w:val="24"/>
          <w:szCs w:val="24"/>
        </w:rPr>
        <w:t>年</w:t>
      </w:r>
      <w:r>
        <w:rPr>
          <w:rFonts w:ascii="Times New Roman" w:hAnsi="Times New Roman" w:eastAsia="仿宋"/>
          <w:sz w:val="24"/>
          <w:szCs w:val="24"/>
          <w:u w:val="single"/>
        </w:rPr>
        <w:t xml:space="preserve">  </w:t>
      </w:r>
      <w:r>
        <w:rPr>
          <w:rFonts w:hint="eastAsia" w:ascii="Times New Roman" w:hAnsi="Times New Roman" w:eastAsia="仿宋"/>
          <w:sz w:val="24"/>
          <w:szCs w:val="24"/>
        </w:rPr>
        <w:t>月</w:t>
      </w:r>
      <w:r>
        <w:rPr>
          <w:rFonts w:ascii="Times New Roman" w:hAnsi="Times New Roman" w:eastAsia="仿宋"/>
          <w:sz w:val="24"/>
          <w:szCs w:val="24"/>
          <w:u w:val="single"/>
        </w:rPr>
        <w:t xml:space="preserve">  </w:t>
      </w:r>
      <w:r>
        <w:rPr>
          <w:rFonts w:hint="eastAsia" w:ascii="Times New Roman" w:hAnsi="Times New Roman" w:eastAsia="仿宋"/>
          <w:sz w:val="24"/>
          <w:szCs w:val="24"/>
        </w:rPr>
        <w:t>日起启用，原印鉴于同日失效。</w:t>
      </w:r>
    </w:p>
    <w:tbl>
      <w:tblPr>
        <w:tblStyle w:val="21"/>
        <w:tblW w:w="905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33"/>
        <w:gridCol w:w="44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475" w:hRule="atLeast"/>
          <w:jc w:val="center"/>
        </w:trPr>
        <w:tc>
          <w:tcPr>
            <w:tcW w:w="4633" w:type="dxa"/>
          </w:tcPr>
          <w:p>
            <w:pPr>
              <w:spacing w:line="360" w:lineRule="auto"/>
              <w:rPr>
                <w:rFonts w:ascii="Times New Roman" w:hAnsi="Times New Roman" w:eastAsia="仿宋"/>
                <w:sz w:val="24"/>
                <w:szCs w:val="24"/>
              </w:rPr>
            </w:pPr>
          </w:p>
          <w:p>
            <w:pPr>
              <w:spacing w:line="360" w:lineRule="auto"/>
              <w:rPr>
                <w:rFonts w:ascii="Times New Roman" w:hAnsi="Times New Roman" w:eastAsia="仿宋"/>
                <w:sz w:val="24"/>
                <w:szCs w:val="24"/>
              </w:rPr>
            </w:pPr>
          </w:p>
          <w:p>
            <w:pPr>
              <w:spacing w:line="360" w:lineRule="auto"/>
              <w:rPr>
                <w:rFonts w:ascii="Times New Roman" w:hAnsi="Times New Roman" w:eastAsia="仿宋"/>
                <w:sz w:val="24"/>
                <w:szCs w:val="24"/>
              </w:rPr>
            </w:pPr>
          </w:p>
          <w:p>
            <w:pPr>
              <w:spacing w:line="360" w:lineRule="auto"/>
              <w:rPr>
                <w:rFonts w:ascii="Times New Roman" w:hAnsi="Times New Roman" w:eastAsia="仿宋"/>
                <w:sz w:val="24"/>
                <w:szCs w:val="24"/>
              </w:rPr>
            </w:pPr>
          </w:p>
          <w:p>
            <w:pPr>
              <w:spacing w:line="360" w:lineRule="auto"/>
              <w:rPr>
                <w:rFonts w:ascii="Times New Roman" w:hAnsi="Times New Roman" w:eastAsia="仿宋"/>
                <w:sz w:val="24"/>
                <w:szCs w:val="24"/>
              </w:rPr>
            </w:pPr>
          </w:p>
          <w:p>
            <w:pPr>
              <w:spacing w:line="360" w:lineRule="auto"/>
              <w:rPr>
                <w:rFonts w:ascii="Times New Roman" w:hAnsi="Times New Roman" w:eastAsia="仿宋"/>
                <w:sz w:val="24"/>
                <w:szCs w:val="24"/>
              </w:rPr>
            </w:pPr>
          </w:p>
          <w:p>
            <w:pPr>
              <w:spacing w:line="360" w:lineRule="auto"/>
              <w:rPr>
                <w:rFonts w:ascii="Times New Roman" w:hAnsi="Times New Roman" w:eastAsia="仿宋"/>
                <w:sz w:val="24"/>
                <w:szCs w:val="24"/>
              </w:rPr>
            </w:pPr>
          </w:p>
          <w:p>
            <w:pPr>
              <w:spacing w:line="360" w:lineRule="auto"/>
              <w:rPr>
                <w:rFonts w:ascii="Times New Roman" w:hAnsi="Times New Roman" w:eastAsia="仿宋"/>
                <w:sz w:val="24"/>
                <w:szCs w:val="24"/>
              </w:rPr>
            </w:pPr>
          </w:p>
          <w:p>
            <w:pPr>
              <w:rPr>
                <w:rFonts w:ascii="Times New Roman" w:hAnsi="Times New Roman" w:eastAsia="仿宋"/>
                <w:sz w:val="24"/>
                <w:szCs w:val="24"/>
              </w:rPr>
            </w:pPr>
            <w:r>
              <w:rPr>
                <w:rFonts w:hint="eastAsia" w:ascii="Times New Roman" w:hAnsi="Times New Roman" w:eastAsia="仿宋"/>
                <w:sz w:val="24"/>
                <w:szCs w:val="24"/>
              </w:rPr>
              <w:t>加盖单位公章</w:t>
            </w:r>
          </w:p>
          <w:p>
            <w:pPr>
              <w:ind w:firstLine="1200" w:firstLineChars="500"/>
              <w:rPr>
                <w:rFonts w:ascii="Times New Roman" w:hAnsi="Times New Roman" w:eastAsia="仿宋"/>
                <w:sz w:val="24"/>
                <w:szCs w:val="24"/>
              </w:rPr>
            </w:pPr>
            <w:r>
              <w:rPr>
                <w:rFonts w:ascii="Times New Roman" w:hAnsi="Times New Roman" w:eastAsia="仿宋"/>
                <w:sz w:val="24"/>
                <w:szCs w:val="24"/>
              </w:rPr>
              <w:t xml:space="preserve">      </w:t>
            </w:r>
            <w:r>
              <w:rPr>
                <w:rFonts w:hint="eastAsia" w:ascii="Times New Roman" w:hAnsi="Times New Roman" w:eastAsia="仿宋"/>
                <w:sz w:val="24"/>
                <w:szCs w:val="24"/>
              </w:rPr>
              <w:t>年</w:t>
            </w:r>
            <w:r>
              <w:rPr>
                <w:rFonts w:ascii="Times New Roman" w:hAnsi="Times New Roman" w:eastAsia="仿宋"/>
                <w:sz w:val="24"/>
                <w:szCs w:val="24"/>
              </w:rPr>
              <w:t xml:space="preserve">   </w:t>
            </w:r>
            <w:r>
              <w:rPr>
                <w:rFonts w:hint="eastAsia" w:ascii="Times New Roman" w:hAnsi="Times New Roman" w:eastAsia="仿宋"/>
                <w:sz w:val="24"/>
                <w:szCs w:val="24"/>
              </w:rPr>
              <w:t>月</w:t>
            </w:r>
            <w:r>
              <w:rPr>
                <w:rFonts w:ascii="Times New Roman" w:hAnsi="Times New Roman" w:eastAsia="仿宋"/>
                <w:sz w:val="24"/>
                <w:szCs w:val="24"/>
              </w:rPr>
              <w:t xml:space="preserve">   </w:t>
            </w:r>
            <w:r>
              <w:rPr>
                <w:rFonts w:hint="eastAsia" w:ascii="Times New Roman" w:hAnsi="Times New Roman" w:eastAsia="仿宋"/>
                <w:sz w:val="24"/>
                <w:szCs w:val="24"/>
              </w:rPr>
              <w:t>日</w:t>
            </w:r>
          </w:p>
        </w:tc>
        <w:tc>
          <w:tcPr>
            <w:tcW w:w="4426" w:type="dxa"/>
          </w:tcPr>
          <w:p>
            <w:pPr>
              <w:spacing w:line="360" w:lineRule="auto"/>
              <w:rPr>
                <w:rFonts w:ascii="Times New Roman" w:hAnsi="Times New Roman" w:eastAsia="仿宋"/>
                <w:sz w:val="24"/>
                <w:szCs w:val="24"/>
              </w:rPr>
            </w:pPr>
          </w:p>
          <w:p>
            <w:pPr>
              <w:spacing w:line="360" w:lineRule="auto"/>
              <w:rPr>
                <w:rFonts w:ascii="Times New Roman" w:hAnsi="Times New Roman" w:eastAsia="仿宋"/>
                <w:sz w:val="24"/>
                <w:szCs w:val="24"/>
              </w:rPr>
            </w:pPr>
          </w:p>
          <w:p>
            <w:pPr>
              <w:spacing w:line="360" w:lineRule="auto"/>
              <w:rPr>
                <w:rFonts w:ascii="Times New Roman" w:hAnsi="Times New Roman" w:eastAsia="仿宋"/>
                <w:sz w:val="24"/>
                <w:szCs w:val="24"/>
              </w:rPr>
            </w:pPr>
          </w:p>
          <w:p>
            <w:pPr>
              <w:spacing w:line="360" w:lineRule="auto"/>
              <w:rPr>
                <w:rFonts w:ascii="Times New Roman" w:hAnsi="Times New Roman" w:eastAsia="仿宋"/>
                <w:sz w:val="24"/>
                <w:szCs w:val="24"/>
              </w:rPr>
            </w:pPr>
          </w:p>
          <w:p>
            <w:pPr>
              <w:spacing w:line="360" w:lineRule="auto"/>
              <w:rPr>
                <w:rFonts w:ascii="Times New Roman" w:hAnsi="Times New Roman" w:eastAsia="仿宋"/>
                <w:sz w:val="24"/>
                <w:szCs w:val="24"/>
              </w:rPr>
            </w:pPr>
          </w:p>
          <w:p>
            <w:pPr>
              <w:spacing w:line="360" w:lineRule="auto"/>
              <w:rPr>
                <w:rFonts w:ascii="Times New Roman" w:hAnsi="Times New Roman" w:eastAsia="仿宋"/>
                <w:sz w:val="24"/>
                <w:szCs w:val="24"/>
              </w:rPr>
            </w:pPr>
          </w:p>
          <w:p>
            <w:pPr>
              <w:spacing w:line="360" w:lineRule="auto"/>
              <w:rPr>
                <w:rFonts w:ascii="Times New Roman" w:hAnsi="Times New Roman" w:eastAsia="仿宋"/>
                <w:sz w:val="24"/>
                <w:szCs w:val="24"/>
              </w:rPr>
            </w:pPr>
          </w:p>
          <w:p>
            <w:pPr>
              <w:spacing w:line="360" w:lineRule="auto"/>
              <w:rPr>
                <w:rFonts w:ascii="Times New Roman" w:hAnsi="Times New Roman" w:eastAsia="仿宋"/>
                <w:sz w:val="24"/>
                <w:szCs w:val="24"/>
              </w:rPr>
            </w:pPr>
          </w:p>
          <w:p>
            <w:pPr>
              <w:rPr>
                <w:rFonts w:ascii="Times New Roman" w:hAnsi="Times New Roman" w:eastAsia="仿宋"/>
                <w:sz w:val="24"/>
                <w:szCs w:val="24"/>
              </w:rPr>
            </w:pPr>
            <w:r>
              <w:rPr>
                <w:rFonts w:hint="eastAsia" w:ascii="Times New Roman" w:hAnsi="Times New Roman" w:eastAsia="仿宋"/>
                <w:sz w:val="24"/>
                <w:szCs w:val="24"/>
              </w:rPr>
              <w:t>原预留印鉴章</w:t>
            </w:r>
          </w:p>
          <w:p>
            <w:pPr>
              <w:ind w:firstLine="1200" w:firstLineChars="500"/>
              <w:rPr>
                <w:rFonts w:ascii="Times New Roman" w:hAnsi="Times New Roman" w:eastAsia="仿宋"/>
                <w:sz w:val="24"/>
                <w:szCs w:val="24"/>
              </w:rPr>
            </w:pPr>
            <w:r>
              <w:rPr>
                <w:rFonts w:ascii="Times New Roman" w:hAnsi="Times New Roman" w:eastAsia="仿宋"/>
                <w:sz w:val="24"/>
                <w:szCs w:val="24"/>
              </w:rPr>
              <w:t xml:space="preserve">        </w:t>
            </w:r>
            <w:r>
              <w:rPr>
                <w:rFonts w:hint="eastAsia" w:ascii="Times New Roman" w:hAnsi="Times New Roman" w:eastAsia="仿宋"/>
                <w:sz w:val="24"/>
                <w:szCs w:val="24"/>
              </w:rPr>
              <w:t>年</w:t>
            </w:r>
            <w:r>
              <w:rPr>
                <w:rFonts w:ascii="Times New Roman" w:hAnsi="Times New Roman" w:eastAsia="仿宋"/>
                <w:sz w:val="24"/>
                <w:szCs w:val="24"/>
              </w:rPr>
              <w:t xml:space="preserve">   </w:t>
            </w:r>
            <w:r>
              <w:rPr>
                <w:rFonts w:hint="eastAsia" w:ascii="Times New Roman" w:hAnsi="Times New Roman" w:eastAsia="仿宋"/>
                <w:sz w:val="24"/>
                <w:szCs w:val="24"/>
              </w:rPr>
              <w:t>月</w:t>
            </w:r>
            <w:r>
              <w:rPr>
                <w:rFonts w:ascii="Times New Roman" w:hAnsi="Times New Roman" w:eastAsia="仿宋"/>
                <w:sz w:val="24"/>
                <w:szCs w:val="24"/>
              </w:rPr>
              <w:t xml:space="preserve">   </w:t>
            </w:r>
            <w:r>
              <w:rPr>
                <w:rFonts w:hint="eastAsia" w:ascii="Times New Roman" w:hAnsi="Times New Roman" w:eastAsia="仿宋"/>
                <w:sz w:val="24"/>
                <w:szCs w:val="24"/>
              </w:rPr>
              <w:t>日</w:t>
            </w:r>
          </w:p>
        </w:tc>
      </w:tr>
    </w:tbl>
    <w:p>
      <w:pPr>
        <w:rPr>
          <w:rFonts w:ascii="Times New Roman" w:hAnsi="Times New Roman" w:eastAsia="仿宋"/>
          <w:b/>
          <w:sz w:val="24"/>
          <w:szCs w:val="24"/>
        </w:rPr>
      </w:pPr>
      <w:r>
        <w:rPr>
          <w:rFonts w:hint="eastAsia" w:ascii="Times New Roman" w:hAnsi="Times New Roman" w:eastAsia="仿宋"/>
          <w:b/>
          <w:sz w:val="24"/>
          <w:szCs w:val="24"/>
        </w:rPr>
        <w:t>填表说明：</w:t>
      </w:r>
    </w:p>
    <w:p>
      <w:pPr>
        <w:ind w:firstLine="480" w:firstLineChars="200"/>
        <w:rPr>
          <w:rFonts w:ascii="仿宋" w:hAnsi="仿宋" w:eastAsia="仿宋"/>
          <w:sz w:val="24"/>
          <w:szCs w:val="24"/>
        </w:rPr>
      </w:pPr>
      <w:r>
        <w:rPr>
          <w:rFonts w:ascii="仿宋" w:hAnsi="仿宋" w:eastAsia="仿宋"/>
          <w:sz w:val="24"/>
          <w:szCs w:val="24"/>
        </w:rPr>
        <w:t>1</w:t>
      </w:r>
      <w:r>
        <w:rPr>
          <w:rFonts w:hAnsi="仿宋" w:cs="Times New Roman"/>
          <w:sz w:val="24"/>
          <w:szCs w:val="24"/>
        </w:rPr>
        <w:t>．</w:t>
      </w:r>
      <w:r>
        <w:rPr>
          <w:rFonts w:hint="eastAsia" w:ascii="仿宋" w:hAnsi="仿宋" w:eastAsia="仿宋"/>
          <w:sz w:val="24"/>
          <w:szCs w:val="24"/>
        </w:rPr>
        <w:t>本印鉴卡一式四份，提交上海清算所三份，申请机构留存一份；</w:t>
      </w:r>
    </w:p>
    <w:p>
      <w:pPr>
        <w:ind w:firstLine="480" w:firstLineChars="200"/>
        <w:rPr>
          <w:rFonts w:ascii="仿宋" w:hAnsi="仿宋" w:eastAsia="仿宋"/>
          <w:sz w:val="24"/>
          <w:szCs w:val="24"/>
        </w:rPr>
      </w:pPr>
      <w:r>
        <w:rPr>
          <w:rFonts w:ascii="仿宋" w:hAnsi="仿宋" w:eastAsia="仿宋"/>
          <w:sz w:val="24"/>
          <w:szCs w:val="24"/>
        </w:rPr>
        <w:t>2</w:t>
      </w:r>
      <w:r>
        <w:rPr>
          <w:rFonts w:hAnsi="仿宋" w:cs="Times New Roman"/>
          <w:sz w:val="24"/>
          <w:szCs w:val="24"/>
        </w:rPr>
        <w:t>．</w:t>
      </w:r>
      <w:r>
        <w:rPr>
          <w:rFonts w:hint="eastAsia" w:ascii="仿宋" w:hAnsi="仿宋" w:eastAsia="仿宋"/>
          <w:sz w:val="24"/>
          <w:szCs w:val="24"/>
        </w:rPr>
        <w:t>单位公章请使用印泥加盖，须清晰且不与其他字迹重叠；</w:t>
      </w:r>
    </w:p>
    <w:p>
      <w:pPr>
        <w:ind w:firstLine="480" w:firstLineChars="200"/>
        <w:rPr>
          <w:rFonts w:ascii="仿宋" w:hAnsi="仿宋" w:eastAsia="仿宋"/>
          <w:sz w:val="24"/>
          <w:szCs w:val="24"/>
        </w:rPr>
      </w:pPr>
      <w:r>
        <w:rPr>
          <w:rFonts w:ascii="仿宋" w:hAnsi="仿宋" w:eastAsia="仿宋"/>
          <w:sz w:val="24"/>
          <w:szCs w:val="24"/>
        </w:rPr>
        <w:t>3</w:t>
      </w:r>
      <w:r>
        <w:rPr>
          <w:rFonts w:hAnsi="仿宋" w:cs="Times New Roman"/>
          <w:sz w:val="24"/>
          <w:szCs w:val="24"/>
        </w:rPr>
        <w:t>．</w:t>
      </w:r>
      <w:r>
        <w:rPr>
          <w:rFonts w:hint="eastAsia" w:ascii="仿宋" w:hAnsi="仿宋" w:eastAsia="仿宋"/>
          <w:sz w:val="24"/>
          <w:szCs w:val="24"/>
        </w:rPr>
        <w:t>单位公章应与机构名称保持一致；</w:t>
      </w:r>
    </w:p>
    <w:p>
      <w:pPr>
        <w:ind w:firstLine="480" w:firstLineChars="200"/>
        <w:rPr>
          <w:rFonts w:ascii="仿宋" w:hAnsi="仿宋" w:eastAsia="仿宋"/>
          <w:sz w:val="24"/>
          <w:szCs w:val="24"/>
        </w:rPr>
      </w:pPr>
      <w:r>
        <w:rPr>
          <w:rFonts w:ascii="仿宋" w:hAnsi="仿宋" w:eastAsia="仿宋"/>
          <w:sz w:val="24"/>
          <w:szCs w:val="24"/>
        </w:rPr>
        <w:t>4</w:t>
      </w:r>
      <w:r>
        <w:rPr>
          <w:rFonts w:hAnsi="仿宋" w:cs="Times New Roman"/>
          <w:sz w:val="24"/>
          <w:szCs w:val="24"/>
        </w:rPr>
        <w:t>．</w:t>
      </w:r>
      <w:r>
        <w:rPr>
          <w:rFonts w:hint="eastAsia" w:ascii="仿宋" w:hAnsi="仿宋" w:eastAsia="仿宋"/>
          <w:sz w:val="24"/>
          <w:szCs w:val="24"/>
        </w:rPr>
        <w:t>更换印鉴卡应加盖单位公章；</w:t>
      </w:r>
    </w:p>
    <w:p>
      <w:pPr>
        <w:ind w:firstLine="480" w:firstLineChars="200"/>
        <w:rPr>
          <w:rFonts w:ascii="仿宋" w:hAnsi="仿宋" w:eastAsia="仿宋"/>
          <w:sz w:val="24"/>
          <w:szCs w:val="24"/>
        </w:rPr>
      </w:pPr>
      <w:r>
        <w:rPr>
          <w:rFonts w:ascii="仿宋" w:hAnsi="仿宋" w:eastAsia="仿宋"/>
          <w:sz w:val="24"/>
          <w:szCs w:val="24"/>
        </w:rPr>
        <w:t>5</w:t>
      </w:r>
      <w:r>
        <w:rPr>
          <w:rFonts w:hAnsi="仿宋" w:cs="Times New Roman"/>
          <w:sz w:val="24"/>
          <w:szCs w:val="24"/>
        </w:rPr>
        <w:t>．</w:t>
      </w:r>
      <w:r>
        <w:rPr>
          <w:rFonts w:hint="eastAsia" w:ascii="仿宋" w:hAnsi="仿宋" w:eastAsia="仿宋"/>
          <w:sz w:val="24"/>
          <w:szCs w:val="24"/>
        </w:rPr>
        <w:t>首次办理送存印鉴卡的，标注</w:t>
      </w:r>
      <w:r>
        <w:rPr>
          <w:rFonts w:ascii="仿宋" w:hAnsi="仿宋" w:eastAsia="仿宋"/>
          <w:sz w:val="24"/>
          <w:szCs w:val="24"/>
        </w:rPr>
        <w:t>*的项目由上海清算所填写</w:t>
      </w:r>
      <w:r>
        <w:rPr>
          <w:rFonts w:hint="eastAsia" w:ascii="仿宋" w:hAnsi="仿宋" w:eastAsia="仿宋"/>
          <w:sz w:val="24"/>
          <w:szCs w:val="24"/>
        </w:rPr>
        <w:t>；</w:t>
      </w:r>
    </w:p>
    <w:p>
      <w:pPr>
        <w:ind w:firstLine="480" w:firstLineChars="200"/>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持有人</w:t>
      </w:r>
      <w:r>
        <w:rPr>
          <w:rFonts w:ascii="仿宋" w:hAnsi="仿宋" w:eastAsia="仿宋"/>
          <w:sz w:val="24"/>
          <w:szCs w:val="24"/>
        </w:rPr>
        <w:t>账户账号</w:t>
      </w:r>
      <w:r>
        <w:rPr>
          <w:rFonts w:hint="eastAsia" w:ascii="仿宋" w:hAnsi="仿宋" w:eastAsia="仿宋"/>
          <w:sz w:val="24"/>
          <w:szCs w:val="24"/>
        </w:rPr>
        <w:t>、使用</w:t>
      </w:r>
      <w:r>
        <w:rPr>
          <w:rFonts w:ascii="仿宋" w:hAnsi="仿宋" w:eastAsia="仿宋"/>
          <w:sz w:val="24"/>
          <w:szCs w:val="24"/>
        </w:rPr>
        <w:t>范畴</w:t>
      </w:r>
      <w:r>
        <w:rPr>
          <w:rFonts w:hint="eastAsia" w:ascii="仿宋" w:hAnsi="仿宋" w:eastAsia="仿宋"/>
          <w:sz w:val="24"/>
          <w:szCs w:val="24"/>
        </w:rPr>
        <w:t>仅</w:t>
      </w:r>
      <w:r>
        <w:rPr>
          <w:rFonts w:ascii="仿宋" w:hAnsi="仿宋" w:eastAsia="仿宋"/>
          <w:sz w:val="24"/>
          <w:szCs w:val="24"/>
        </w:rPr>
        <w:t>现货清算成员填写，现货平台编号仅现货</w:t>
      </w:r>
      <w:r>
        <w:rPr>
          <w:rFonts w:hint="eastAsia" w:ascii="仿宋" w:hAnsi="仿宋" w:eastAsia="仿宋"/>
          <w:sz w:val="24"/>
          <w:szCs w:val="24"/>
        </w:rPr>
        <w:t>平台</w:t>
      </w:r>
      <w:r>
        <w:rPr>
          <w:rFonts w:ascii="仿宋" w:hAnsi="仿宋" w:eastAsia="仿宋"/>
          <w:sz w:val="24"/>
          <w:szCs w:val="24"/>
        </w:rPr>
        <w:t>填写</w:t>
      </w:r>
      <w:r>
        <w:rPr>
          <w:rFonts w:hint="eastAsia" w:ascii="仿宋" w:hAnsi="仿宋" w:eastAsia="仿宋"/>
          <w:sz w:val="24"/>
          <w:szCs w:val="24"/>
        </w:rPr>
        <w:t>。</w:t>
      </w:r>
    </w:p>
    <w:p>
      <w:pPr>
        <w:ind w:firstLine="480" w:firstLineChars="200"/>
        <w:rPr>
          <w:rFonts w:ascii="仿宋" w:hAnsi="仿宋" w:eastAsia="仿宋"/>
          <w:sz w:val="24"/>
          <w:szCs w:val="2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widowControl/>
        <w:spacing w:line="580" w:lineRule="exact"/>
        <w:jc w:val="left"/>
        <w:rPr>
          <w:rFonts w:ascii="黑体" w:hAnsi="宋体" w:eastAsia="黑体"/>
          <w:sz w:val="32"/>
          <w:szCs w:val="32"/>
          <w:lang w:bidi="ar"/>
        </w:rPr>
      </w:pPr>
      <w:r>
        <w:rPr>
          <w:rFonts w:hint="eastAsia" w:ascii="黑体" w:hAnsi="宋体" w:eastAsia="黑体"/>
          <w:sz w:val="32"/>
          <w:szCs w:val="32"/>
          <w:lang w:bidi="ar"/>
        </w:rPr>
        <w:t>附</w:t>
      </w:r>
      <w:r>
        <w:rPr>
          <w:rFonts w:ascii="黑体" w:hAnsi="宋体" w:eastAsia="黑体"/>
          <w:sz w:val="32"/>
          <w:szCs w:val="32"/>
          <w:lang w:bidi="ar"/>
        </w:rPr>
        <w:t>8</w:t>
      </w:r>
    </w:p>
    <w:p>
      <w:pPr>
        <w:spacing w:line="360" w:lineRule="auto"/>
        <w:jc w:val="center"/>
        <w:rPr>
          <w:rFonts w:ascii="宋体" w:hAnsi="宋体" w:cs="宋体"/>
          <w:b/>
          <w:sz w:val="44"/>
          <w:szCs w:val="44"/>
          <w:lang w:bidi="ar"/>
        </w:rPr>
      </w:pPr>
      <w:r>
        <w:rPr>
          <w:rFonts w:hint="eastAsia" w:ascii="宋体" w:hAnsi="宋体" w:cs="宋体"/>
          <w:b/>
          <w:sz w:val="44"/>
          <w:szCs w:val="44"/>
          <w:lang w:bidi="ar"/>
        </w:rPr>
        <w:t>银行间市场清算所股份有限公司</w:t>
      </w:r>
    </w:p>
    <w:p>
      <w:pPr>
        <w:spacing w:line="360" w:lineRule="auto"/>
        <w:jc w:val="center"/>
        <w:rPr>
          <w:rFonts w:ascii="宋体" w:hAnsi="宋体" w:cs="宋体"/>
          <w:b/>
          <w:sz w:val="44"/>
          <w:szCs w:val="44"/>
          <w:lang w:bidi="ar"/>
        </w:rPr>
      </w:pPr>
      <w:r>
        <w:rPr>
          <w:rFonts w:hint="eastAsia" w:ascii="宋体" w:hAnsi="宋体" w:cs="宋体"/>
          <w:b/>
          <w:sz w:val="44"/>
          <w:szCs w:val="44"/>
          <w:lang w:bidi="ar"/>
        </w:rPr>
        <w:t>大宗商品现货清算业务</w:t>
      </w:r>
    </w:p>
    <w:p>
      <w:pPr>
        <w:spacing w:line="360" w:lineRule="auto"/>
        <w:jc w:val="center"/>
        <w:rPr>
          <w:rFonts w:ascii="宋体" w:hAnsi="宋体" w:cs="宋体"/>
          <w:b/>
          <w:sz w:val="44"/>
          <w:szCs w:val="44"/>
          <w:lang w:bidi="ar"/>
        </w:rPr>
      </w:pPr>
      <w:r>
        <w:rPr>
          <w:rFonts w:hint="eastAsia" w:ascii="宋体" w:hAnsi="宋体" w:cs="宋体"/>
          <w:b/>
          <w:sz w:val="44"/>
          <w:szCs w:val="44"/>
          <w:lang w:bidi="ar"/>
        </w:rPr>
        <w:t>费用缴纳专户</w:t>
      </w:r>
      <w:r>
        <w:rPr>
          <w:rFonts w:ascii="宋体" w:hAnsi="宋体" w:cs="宋体"/>
          <w:b/>
          <w:sz w:val="44"/>
          <w:szCs w:val="44"/>
          <w:lang w:bidi="ar"/>
        </w:rPr>
        <w:t>申请表</w:t>
      </w:r>
    </w:p>
    <w:tbl>
      <w:tblPr>
        <w:tblStyle w:val="21"/>
        <w:tblpPr w:leftFromText="180" w:rightFromText="180" w:vertAnchor="text" w:horzAnchor="margin" w:tblpXSpec="center" w:tblpY="80"/>
        <w:tblOverlap w:val="never"/>
        <w:tblW w:w="8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425"/>
        <w:gridCol w:w="1828"/>
        <w:gridCol w:w="2252"/>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79" w:type="dxa"/>
            <w:tcBorders>
              <w:top w:val="single" w:color="auto" w:sz="4" w:space="0"/>
              <w:left w:val="single" w:color="auto" w:sz="4" w:space="0"/>
              <w:right w:val="single" w:color="auto" w:sz="4" w:space="0"/>
            </w:tcBorders>
            <w:vAlign w:val="center"/>
          </w:tcPr>
          <w:p>
            <w:pPr>
              <w:rPr>
                <w:rFonts w:ascii="Times New Roman" w:hAnsi="Times New Roman" w:eastAsia="仿宋" w:cs="Times New Roman"/>
                <w:bCs/>
                <w:sz w:val="24"/>
                <w:szCs w:val="24"/>
              </w:rPr>
            </w:pPr>
            <w:r>
              <w:rPr>
                <w:rFonts w:hint="eastAsia" w:ascii="Times New Roman" w:hAnsi="Times New Roman" w:eastAsia="仿宋" w:cs="Times New Roman"/>
                <w:bCs/>
                <w:sz w:val="24"/>
                <w:szCs w:val="24"/>
              </w:rPr>
              <w:t>持有</w:t>
            </w:r>
            <w:r>
              <w:rPr>
                <w:rFonts w:ascii="Times New Roman" w:hAnsi="Times New Roman" w:eastAsia="仿宋" w:cs="Times New Roman"/>
                <w:bCs/>
                <w:sz w:val="24"/>
                <w:szCs w:val="24"/>
              </w:rPr>
              <w:t>人账户账号</w:t>
            </w:r>
          </w:p>
        </w:tc>
        <w:tc>
          <w:tcPr>
            <w:tcW w:w="6757" w:type="dxa"/>
            <w:gridSpan w:val="4"/>
            <w:tcBorders>
              <w:top w:val="single" w:color="auto" w:sz="4" w:space="0"/>
              <w:left w:val="single" w:color="auto" w:sz="4" w:space="0"/>
              <w:right w:val="single" w:color="auto" w:sz="4" w:space="0"/>
            </w:tcBorders>
            <w:vAlign w:val="center"/>
          </w:tcPr>
          <w:p>
            <w:pPr>
              <w:jc w:val="right"/>
              <w:rPr>
                <w:rFonts w:ascii="Times New Roman" w:hAnsi="Times New Roman" w:eastAsia="仿宋" w:cs="Times New Roman"/>
                <w:color w:val="AEAAA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79" w:type="dxa"/>
            <w:tcBorders>
              <w:top w:val="single" w:color="auto" w:sz="4" w:space="0"/>
              <w:left w:val="single" w:color="auto" w:sz="4" w:space="0"/>
              <w:right w:val="single" w:color="auto" w:sz="4" w:space="0"/>
            </w:tcBorders>
            <w:vAlign w:val="center"/>
          </w:tcPr>
          <w:p>
            <w:pPr>
              <w:rPr>
                <w:rFonts w:ascii="Times New Roman" w:hAnsi="Times New Roman" w:eastAsia="仿宋" w:cs="Times New Roman"/>
                <w:bCs/>
                <w:sz w:val="24"/>
                <w:szCs w:val="24"/>
              </w:rPr>
            </w:pPr>
            <w:r>
              <w:rPr>
                <w:rFonts w:hint="eastAsia" w:ascii="Times New Roman" w:hAnsi="Times New Roman" w:eastAsia="仿宋" w:cs="Times New Roman"/>
                <w:bCs/>
                <w:sz w:val="24"/>
                <w:szCs w:val="24"/>
              </w:rPr>
              <w:t>申请机构名称</w:t>
            </w:r>
          </w:p>
        </w:tc>
        <w:tc>
          <w:tcPr>
            <w:tcW w:w="6757" w:type="dxa"/>
            <w:gridSpan w:val="4"/>
            <w:tcBorders>
              <w:top w:val="single" w:color="auto" w:sz="4" w:space="0"/>
              <w:left w:val="single" w:color="auto" w:sz="4" w:space="0"/>
              <w:right w:val="single" w:color="auto" w:sz="4" w:space="0"/>
            </w:tcBorders>
            <w:vAlign w:val="center"/>
          </w:tcPr>
          <w:p>
            <w:pPr>
              <w:jc w:val="right"/>
              <w:rPr>
                <w:rFonts w:ascii="Times New Roman" w:hAnsi="Times New Roman" w:eastAsia="仿宋" w:cs="Times New Roman"/>
                <w:bCs/>
                <w:color w:val="AEAAA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79" w:type="dxa"/>
            <w:tcBorders>
              <w:top w:val="single" w:color="auto" w:sz="4" w:space="0"/>
              <w:left w:val="single" w:color="auto" w:sz="4" w:space="0"/>
              <w:right w:val="single" w:color="auto" w:sz="4" w:space="0"/>
            </w:tcBorders>
            <w:vAlign w:val="center"/>
          </w:tcPr>
          <w:p>
            <w:pPr>
              <w:rPr>
                <w:rFonts w:ascii="Times New Roman" w:hAnsi="Times New Roman" w:eastAsia="仿宋" w:cs="Times New Roman"/>
                <w:bCs/>
                <w:sz w:val="24"/>
                <w:szCs w:val="24"/>
              </w:rPr>
            </w:pPr>
            <w:r>
              <w:rPr>
                <w:rFonts w:hint="eastAsia" w:ascii="Times New Roman" w:hAnsi="Times New Roman" w:eastAsia="仿宋" w:cs="Times New Roman"/>
                <w:bCs/>
                <w:sz w:val="24"/>
                <w:szCs w:val="24"/>
              </w:rPr>
              <w:t>申请类型</w:t>
            </w:r>
          </w:p>
        </w:tc>
        <w:tc>
          <w:tcPr>
            <w:tcW w:w="6757" w:type="dxa"/>
            <w:gridSpan w:val="4"/>
            <w:tcBorders>
              <w:top w:val="single" w:color="auto" w:sz="4" w:space="0"/>
              <w:left w:val="single" w:color="auto" w:sz="4" w:space="0"/>
              <w:right w:val="single" w:color="auto" w:sz="4" w:space="0"/>
            </w:tcBorders>
            <w:vAlign w:val="center"/>
          </w:tcPr>
          <w:p>
            <w:pPr>
              <w:jc w:val="left"/>
              <w:rPr>
                <w:rFonts w:ascii="Times New Roman" w:hAnsi="Times New Roman" w:eastAsia="仿宋" w:cs="Times New Roman"/>
                <w:bCs/>
                <w:color w:val="AEAAAA"/>
                <w:sz w:val="24"/>
                <w:szCs w:val="24"/>
              </w:rPr>
            </w:pPr>
            <w:r>
              <w:rPr>
                <w:rFonts w:hint="eastAsia" w:ascii="Times New Roman" w:hAnsi="Times New Roman" w:eastAsia="仿宋" w:cs="Times New Roman"/>
                <w:bCs/>
                <w:sz w:val="24"/>
                <w:szCs w:val="24"/>
              </w:rPr>
              <w:t>□新增持有人账户      □仅费用缴纳专户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79" w:type="dxa"/>
            <w:tcBorders>
              <w:top w:val="single" w:color="auto" w:sz="4" w:space="0"/>
              <w:left w:val="single" w:color="auto" w:sz="4" w:space="0"/>
              <w:right w:val="single" w:color="auto" w:sz="4" w:space="0"/>
            </w:tcBorders>
            <w:vAlign w:val="center"/>
          </w:tcPr>
          <w:p>
            <w:pPr>
              <w:rPr>
                <w:rFonts w:ascii="Times New Roman" w:hAnsi="Times New Roman" w:eastAsia="仿宋" w:cs="Times New Roman"/>
                <w:bCs/>
                <w:sz w:val="24"/>
                <w:szCs w:val="24"/>
              </w:rPr>
            </w:pPr>
            <w:r>
              <w:rPr>
                <w:rFonts w:hint="eastAsia" w:ascii="Times New Roman" w:hAnsi="Times New Roman" w:eastAsia="仿宋" w:cs="Times New Roman"/>
                <w:bCs/>
                <w:sz w:val="24"/>
                <w:szCs w:val="24"/>
              </w:rPr>
              <w:t>联系人</w:t>
            </w:r>
          </w:p>
        </w:tc>
        <w:tc>
          <w:tcPr>
            <w:tcW w:w="6757" w:type="dxa"/>
            <w:gridSpan w:val="4"/>
            <w:tcBorders>
              <w:top w:val="single" w:color="auto" w:sz="4" w:space="0"/>
              <w:left w:val="single" w:color="auto" w:sz="4" w:space="0"/>
              <w:right w:val="single" w:color="auto" w:sz="4" w:space="0"/>
            </w:tcBorders>
            <w:vAlign w:val="center"/>
          </w:tcPr>
          <w:p>
            <w:pPr>
              <w:jc w:val="right"/>
              <w:rPr>
                <w:rFonts w:ascii="Times New Roman" w:hAnsi="Times New Roman" w:eastAsia="仿宋" w:cs="Times New Roman"/>
                <w:bCs/>
                <w:color w:val="AEAAA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79" w:type="dxa"/>
            <w:tcBorders>
              <w:top w:val="single" w:color="auto" w:sz="4" w:space="0"/>
              <w:left w:val="single" w:color="auto" w:sz="4" w:space="0"/>
              <w:right w:val="single" w:color="auto" w:sz="4" w:space="0"/>
            </w:tcBorders>
            <w:vAlign w:val="center"/>
          </w:tcPr>
          <w:p>
            <w:pPr>
              <w:rPr>
                <w:rFonts w:ascii="Times New Roman" w:hAnsi="Times New Roman" w:eastAsia="仿宋" w:cs="Times New Roman"/>
                <w:bCs/>
                <w:sz w:val="24"/>
                <w:szCs w:val="24"/>
              </w:rPr>
            </w:pPr>
            <w:r>
              <w:rPr>
                <w:rFonts w:hint="eastAsia" w:ascii="Times New Roman" w:hAnsi="Times New Roman" w:eastAsia="仿宋" w:cs="Times New Roman"/>
                <w:bCs/>
                <w:sz w:val="24"/>
                <w:szCs w:val="24"/>
              </w:rPr>
              <w:t>联系电话</w:t>
            </w:r>
          </w:p>
        </w:tc>
        <w:tc>
          <w:tcPr>
            <w:tcW w:w="2253" w:type="dxa"/>
            <w:gridSpan w:val="2"/>
            <w:tcBorders>
              <w:top w:val="single" w:color="auto" w:sz="4" w:space="0"/>
              <w:left w:val="single" w:color="auto" w:sz="4" w:space="0"/>
              <w:right w:val="single" w:color="auto" w:sz="4" w:space="0"/>
            </w:tcBorders>
            <w:vAlign w:val="center"/>
          </w:tcPr>
          <w:p>
            <w:pPr>
              <w:jc w:val="right"/>
              <w:rPr>
                <w:rFonts w:ascii="Times New Roman" w:hAnsi="Times New Roman" w:eastAsia="仿宋" w:cs="Times New Roman"/>
                <w:bCs/>
                <w:color w:val="AEAAAA"/>
                <w:sz w:val="24"/>
                <w:szCs w:val="24"/>
              </w:rPr>
            </w:pPr>
          </w:p>
        </w:tc>
        <w:tc>
          <w:tcPr>
            <w:tcW w:w="2252" w:type="dxa"/>
            <w:tcBorders>
              <w:top w:val="single" w:color="auto" w:sz="4" w:space="0"/>
              <w:left w:val="single" w:color="auto" w:sz="4" w:space="0"/>
              <w:right w:val="single" w:color="auto" w:sz="4" w:space="0"/>
            </w:tcBorders>
            <w:vAlign w:val="center"/>
          </w:tcPr>
          <w:p>
            <w:pPr>
              <w:rPr>
                <w:rFonts w:ascii="Times New Roman" w:hAnsi="Times New Roman" w:eastAsia="仿宋" w:cs="Times New Roman"/>
                <w:bCs/>
                <w:sz w:val="24"/>
                <w:szCs w:val="24"/>
              </w:rPr>
            </w:pPr>
            <w:r>
              <w:rPr>
                <w:rFonts w:ascii="Times New Roman" w:hAnsi="Times New Roman" w:eastAsia="仿宋" w:cs="Times New Roman"/>
                <w:bCs/>
                <w:sz w:val="24"/>
                <w:szCs w:val="24"/>
              </w:rPr>
              <w:t>电子邮件</w:t>
            </w:r>
          </w:p>
        </w:tc>
        <w:tc>
          <w:tcPr>
            <w:tcW w:w="2252" w:type="dxa"/>
            <w:tcBorders>
              <w:top w:val="single" w:color="auto" w:sz="4" w:space="0"/>
              <w:left w:val="single" w:color="auto" w:sz="4" w:space="0"/>
              <w:right w:val="single" w:color="auto" w:sz="4" w:space="0"/>
            </w:tcBorders>
            <w:vAlign w:val="center"/>
          </w:tcPr>
          <w:p>
            <w:pPr>
              <w:jc w:val="right"/>
              <w:rPr>
                <w:rFonts w:ascii="Times New Roman" w:hAnsi="Times New Roman" w:eastAsia="仿宋" w:cs="Times New Roman"/>
                <w:bCs/>
                <w:color w:val="AEAAA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73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sz w:val="24"/>
                <w:szCs w:val="24"/>
              </w:rPr>
            </w:pPr>
            <w:r>
              <w:rPr>
                <w:rFonts w:ascii="Times New Roman" w:hAnsi="Times New Roman" w:eastAsia="仿宋" w:cs="Times New Roman"/>
                <w:b/>
                <w:sz w:val="24"/>
                <w:szCs w:val="24"/>
              </w:rPr>
              <w:t>一、</w:t>
            </w:r>
            <w:r>
              <w:rPr>
                <w:rFonts w:hint="eastAsia" w:ascii="Times New Roman" w:hAnsi="Times New Roman" w:eastAsia="仿宋" w:cs="Times New Roman"/>
                <w:b/>
                <w:sz w:val="24"/>
                <w:szCs w:val="24"/>
              </w:rPr>
              <w:t>持有</w:t>
            </w:r>
            <w:r>
              <w:rPr>
                <w:rFonts w:ascii="Times New Roman" w:hAnsi="Times New Roman" w:eastAsia="仿宋" w:cs="Times New Roman"/>
                <w:b/>
                <w:sz w:val="24"/>
                <w:szCs w:val="24"/>
              </w:rPr>
              <w:t>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404" w:type="dxa"/>
            <w:gridSpan w:val="2"/>
            <w:tcBorders>
              <w:top w:val="single" w:color="auto" w:sz="4" w:space="0"/>
              <w:left w:val="single" w:color="auto" w:sz="4" w:space="0"/>
              <w:right w:val="single" w:color="auto" w:sz="4" w:space="0"/>
            </w:tcBorders>
            <w:vAlign w:val="center"/>
          </w:tcPr>
          <w:p>
            <w:pPr>
              <w:jc w:val="left"/>
              <w:rPr>
                <w:rFonts w:ascii="Times New Roman" w:hAnsi="Times New Roman" w:eastAsia="仿宋" w:cs="Times New Roman"/>
                <w:bCs/>
                <w:sz w:val="24"/>
                <w:szCs w:val="24"/>
              </w:rPr>
            </w:pPr>
            <w:r>
              <w:rPr>
                <w:rFonts w:ascii="Times New Roman" w:hAnsi="Times New Roman" w:eastAsia="仿宋" w:cs="Times New Roman"/>
                <w:bCs/>
                <w:sz w:val="24"/>
                <w:szCs w:val="24"/>
              </w:rPr>
              <w:t>账户户名中文全称</w:t>
            </w:r>
          </w:p>
        </w:tc>
        <w:tc>
          <w:tcPr>
            <w:tcW w:w="6332" w:type="dxa"/>
            <w:gridSpan w:val="3"/>
            <w:tcBorders>
              <w:top w:val="single" w:color="auto" w:sz="4" w:space="0"/>
              <w:left w:val="single" w:color="auto" w:sz="4" w:space="0"/>
              <w:right w:val="single" w:color="auto" w:sz="4" w:space="0"/>
            </w:tcBorders>
            <w:vAlign w:val="center"/>
          </w:tcPr>
          <w:p>
            <w:pPr>
              <w:wordWrap w:val="0"/>
              <w:jc w:val="right"/>
              <w:rPr>
                <w:rFonts w:ascii="Times New Roman" w:hAnsi="Times New Roman" w:eastAsia="仿宋" w:cs="Times New Roman"/>
                <w:bCs/>
                <w:color w:val="AEAAA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404" w:type="dxa"/>
            <w:gridSpan w:val="2"/>
            <w:tcBorders>
              <w:top w:val="single" w:color="auto" w:sz="4" w:space="0"/>
              <w:left w:val="single" w:color="auto" w:sz="4" w:space="0"/>
              <w:right w:val="single" w:color="auto" w:sz="4" w:space="0"/>
            </w:tcBorders>
            <w:vAlign w:val="center"/>
          </w:tcPr>
          <w:p>
            <w:pPr>
              <w:jc w:val="left"/>
              <w:rPr>
                <w:rFonts w:ascii="Times New Roman" w:hAnsi="Times New Roman" w:eastAsia="仿宋" w:cs="Times New Roman"/>
                <w:bCs/>
                <w:sz w:val="24"/>
                <w:szCs w:val="24"/>
              </w:rPr>
            </w:pPr>
            <w:r>
              <w:rPr>
                <w:rFonts w:ascii="Times New Roman" w:hAnsi="Times New Roman" w:eastAsia="仿宋" w:cs="Times New Roman"/>
                <w:bCs/>
                <w:sz w:val="24"/>
                <w:szCs w:val="24"/>
              </w:rPr>
              <w:t>账户户名中文简称</w:t>
            </w:r>
          </w:p>
        </w:tc>
        <w:tc>
          <w:tcPr>
            <w:tcW w:w="6332" w:type="dxa"/>
            <w:gridSpan w:val="3"/>
            <w:tcBorders>
              <w:top w:val="single" w:color="auto" w:sz="4" w:space="0"/>
              <w:left w:val="single" w:color="auto" w:sz="4" w:space="0"/>
              <w:right w:val="single" w:color="auto" w:sz="4" w:space="0"/>
            </w:tcBorders>
            <w:vAlign w:val="center"/>
          </w:tcPr>
          <w:p>
            <w:pPr>
              <w:jc w:val="right"/>
              <w:rPr>
                <w:rFonts w:ascii="Times New Roman" w:hAnsi="Times New Roman" w:eastAsia="仿宋" w:cs="Times New Roman"/>
                <w:bCs/>
                <w:color w:val="AEAAA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404" w:type="dxa"/>
            <w:gridSpan w:val="2"/>
            <w:tcBorders>
              <w:top w:val="single" w:color="auto" w:sz="4" w:space="0"/>
              <w:left w:val="single" w:color="auto" w:sz="4" w:space="0"/>
              <w:right w:val="single" w:color="auto" w:sz="4" w:space="0"/>
            </w:tcBorders>
            <w:vAlign w:val="center"/>
          </w:tcPr>
          <w:p>
            <w:pPr>
              <w:jc w:val="left"/>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机构中文注册地址</w:t>
            </w:r>
          </w:p>
        </w:tc>
        <w:tc>
          <w:tcPr>
            <w:tcW w:w="6332" w:type="dxa"/>
            <w:gridSpan w:val="3"/>
            <w:tcBorders>
              <w:top w:val="single" w:color="auto" w:sz="4" w:space="0"/>
              <w:left w:val="single" w:color="auto" w:sz="4" w:space="0"/>
              <w:right w:val="single" w:color="auto" w:sz="4" w:space="0"/>
            </w:tcBorders>
            <w:vAlign w:val="center"/>
          </w:tcPr>
          <w:p>
            <w:pPr>
              <w:wordWrap w:val="0"/>
              <w:jc w:val="right"/>
              <w:rPr>
                <w:rFonts w:ascii="Times New Roman" w:hAnsi="Times New Roman" w:eastAsia="仿宋" w:cs="Times New Roman"/>
                <w:bCs/>
                <w:color w:val="AEAAA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404" w:type="dxa"/>
            <w:gridSpan w:val="2"/>
            <w:tcBorders>
              <w:top w:val="single" w:color="auto" w:sz="4" w:space="0"/>
              <w:left w:val="single" w:color="auto" w:sz="4" w:space="0"/>
              <w:right w:val="single" w:color="auto" w:sz="4" w:space="0"/>
            </w:tcBorders>
            <w:vAlign w:val="center"/>
          </w:tcPr>
          <w:p>
            <w:pPr>
              <w:jc w:val="left"/>
              <w:rPr>
                <w:rFonts w:ascii="Times New Roman" w:hAnsi="Times New Roman" w:eastAsia="仿宋" w:cs="Times New Roman"/>
                <w:bCs/>
                <w:sz w:val="24"/>
                <w:szCs w:val="24"/>
              </w:rPr>
            </w:pPr>
            <w:r>
              <w:rPr>
                <w:rFonts w:hint="eastAsia" w:ascii="Times New Roman" w:hAnsi="Times New Roman" w:eastAsia="仿宋" w:cs="Times New Roman"/>
                <w:bCs/>
                <w:sz w:val="24"/>
                <w:szCs w:val="24"/>
              </w:rPr>
              <w:t>注册所在国</w:t>
            </w:r>
          </w:p>
        </w:tc>
        <w:tc>
          <w:tcPr>
            <w:tcW w:w="6332" w:type="dxa"/>
            <w:gridSpan w:val="3"/>
            <w:tcBorders>
              <w:top w:val="single" w:color="auto" w:sz="4" w:space="0"/>
              <w:left w:val="single" w:color="auto" w:sz="4" w:space="0"/>
              <w:right w:val="single" w:color="auto" w:sz="4" w:space="0"/>
            </w:tcBorders>
            <w:vAlign w:val="center"/>
          </w:tcPr>
          <w:p>
            <w:pPr>
              <w:wordWrap w:val="0"/>
              <w:jc w:val="right"/>
              <w:rPr>
                <w:rFonts w:ascii="Times New Roman" w:hAnsi="Times New Roman" w:eastAsia="仿宋" w:cs="Times New Roman"/>
                <w:bCs/>
                <w:color w:val="AEAAA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404" w:type="dxa"/>
            <w:gridSpan w:val="2"/>
            <w:tcBorders>
              <w:top w:val="single" w:color="auto" w:sz="4" w:space="0"/>
              <w:left w:val="single" w:color="auto" w:sz="4" w:space="0"/>
              <w:right w:val="single" w:color="auto" w:sz="4" w:space="0"/>
            </w:tcBorders>
            <w:vAlign w:val="center"/>
          </w:tcPr>
          <w:p>
            <w:pPr>
              <w:jc w:val="left"/>
              <w:rPr>
                <w:rFonts w:ascii="Times New Roman" w:hAnsi="Times New Roman" w:eastAsia="仿宋" w:cs="Times New Roman"/>
                <w:bCs/>
                <w:sz w:val="24"/>
                <w:szCs w:val="24"/>
              </w:rPr>
            </w:pPr>
            <w:r>
              <w:rPr>
                <w:rFonts w:hint="eastAsia" w:ascii="Times New Roman" w:hAnsi="Times New Roman" w:eastAsia="仿宋" w:cs="Times New Roman"/>
                <w:bCs/>
                <w:sz w:val="24"/>
                <w:szCs w:val="24"/>
              </w:rPr>
              <w:t>注册所在地区</w:t>
            </w:r>
          </w:p>
        </w:tc>
        <w:tc>
          <w:tcPr>
            <w:tcW w:w="6332" w:type="dxa"/>
            <w:gridSpan w:val="3"/>
            <w:tcBorders>
              <w:top w:val="single" w:color="auto" w:sz="4" w:space="0"/>
              <w:left w:val="single" w:color="auto" w:sz="4" w:space="0"/>
              <w:right w:val="single" w:color="auto" w:sz="4" w:space="0"/>
            </w:tcBorders>
            <w:vAlign w:val="center"/>
          </w:tcPr>
          <w:p>
            <w:pPr>
              <w:wordWrap w:val="0"/>
              <w:jc w:val="right"/>
              <w:rPr>
                <w:rFonts w:ascii="Times New Roman" w:hAnsi="Times New Roman" w:eastAsia="仿宋" w:cs="Times New Roman"/>
                <w:bCs/>
                <w:color w:val="AEAAA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404"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bCs/>
                <w:sz w:val="24"/>
                <w:szCs w:val="24"/>
              </w:rPr>
            </w:pPr>
            <w:r>
              <w:rPr>
                <w:rFonts w:hint="eastAsia" w:ascii="Times New Roman" w:hAnsi="Times New Roman" w:eastAsia="仿宋" w:cs="Times New Roman"/>
                <w:bCs/>
                <w:sz w:val="24"/>
                <w:szCs w:val="24"/>
              </w:rPr>
              <w:t>统一社会信用代码</w:t>
            </w:r>
          </w:p>
        </w:tc>
        <w:tc>
          <w:tcPr>
            <w:tcW w:w="6332" w:type="dxa"/>
            <w:gridSpan w:val="3"/>
            <w:tcBorders>
              <w:top w:val="single" w:color="auto" w:sz="4" w:space="0"/>
              <w:left w:val="single" w:color="auto" w:sz="4" w:space="0"/>
              <w:bottom w:val="single" w:color="auto" w:sz="4" w:space="0"/>
              <w:right w:val="single" w:color="auto" w:sz="4" w:space="0"/>
            </w:tcBorders>
            <w:vAlign w:val="center"/>
          </w:tcPr>
          <w:p>
            <w:pPr>
              <w:wordWrap w:val="0"/>
              <w:jc w:val="right"/>
              <w:rPr>
                <w:rFonts w:ascii="Times New Roman" w:hAnsi="Times New Roman" w:eastAsia="仿宋" w:cs="Times New Roman"/>
                <w:bCs/>
                <w:color w:val="AEAAA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73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Cs/>
                <w:color w:val="AEAAAA"/>
                <w:sz w:val="24"/>
                <w:szCs w:val="24"/>
              </w:rPr>
            </w:pPr>
            <w:r>
              <w:rPr>
                <w:rFonts w:hint="eastAsia" w:ascii="Times New Roman" w:hAnsi="Times New Roman" w:eastAsia="仿宋" w:cs="Times New Roman"/>
                <w:b/>
                <w:sz w:val="24"/>
                <w:szCs w:val="24"/>
              </w:rPr>
              <w:t>二、持有人机构类型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404"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bCs/>
                <w:sz w:val="24"/>
                <w:szCs w:val="24"/>
              </w:rPr>
            </w:pPr>
            <w:r>
              <w:rPr>
                <w:rFonts w:hint="eastAsia" w:ascii="Times New Roman" w:hAnsi="Times New Roman" w:eastAsia="仿宋" w:cs="Times New Roman"/>
                <w:bCs/>
                <w:sz w:val="24"/>
                <w:szCs w:val="24"/>
              </w:rPr>
              <w:t>银行业金融机构</w:t>
            </w:r>
          </w:p>
        </w:tc>
        <w:tc>
          <w:tcPr>
            <w:tcW w:w="633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bCs/>
                <w:sz w:val="24"/>
                <w:szCs w:val="24"/>
              </w:rPr>
            </w:pPr>
            <w:r>
              <w:rPr>
                <w:rFonts w:hint="eastAsia" w:ascii="Times New Roman" w:hAnsi="Times New Roman" w:eastAsia="仿宋" w:cs="Times New Roman"/>
                <w:bCs/>
                <w:sz w:val="24"/>
                <w:szCs w:val="24"/>
              </w:rPr>
              <w:t xml:space="preserve">□政策性银行      □国有大型商业银行 </w:t>
            </w:r>
          </w:p>
          <w:p>
            <w:pPr>
              <w:jc w:val="left"/>
              <w:rPr>
                <w:rFonts w:ascii="Times New Roman" w:hAnsi="Times New Roman" w:eastAsia="仿宋" w:cs="Times New Roman"/>
                <w:bCs/>
                <w:sz w:val="24"/>
                <w:szCs w:val="24"/>
              </w:rPr>
            </w:pPr>
            <w:r>
              <w:rPr>
                <w:rFonts w:hint="eastAsia" w:ascii="Times New Roman" w:hAnsi="Times New Roman" w:eastAsia="仿宋" w:cs="Times New Roman"/>
                <w:bCs/>
                <w:sz w:val="24"/>
                <w:szCs w:val="24"/>
              </w:rPr>
              <w:t xml:space="preserve">□股份制商业银行 </w:t>
            </w:r>
            <w:r>
              <w:rPr>
                <w:rFonts w:ascii="Times New Roman" w:hAnsi="Times New Roman" w:eastAsia="仿宋" w:cs="Times New Roman"/>
                <w:bCs/>
                <w:sz w:val="24"/>
                <w:szCs w:val="24"/>
              </w:rPr>
              <w:t xml:space="preserve"> </w:t>
            </w:r>
            <w:r>
              <w:rPr>
                <w:rFonts w:hint="eastAsia" w:ascii="Times New Roman" w:hAnsi="Times New Roman" w:eastAsia="仿宋" w:cs="Times New Roman"/>
                <w:bCs/>
                <w:sz w:val="24"/>
                <w:szCs w:val="24"/>
              </w:rPr>
              <w:t>□城市商业银行</w:t>
            </w:r>
          </w:p>
          <w:p>
            <w:pPr>
              <w:jc w:val="left"/>
              <w:rPr>
                <w:rFonts w:ascii="Times New Roman" w:hAnsi="Times New Roman" w:eastAsia="仿宋" w:cs="Times New Roman"/>
                <w:bCs/>
                <w:sz w:val="24"/>
                <w:szCs w:val="24"/>
              </w:rPr>
            </w:pPr>
            <w:r>
              <w:rPr>
                <w:rFonts w:hint="eastAsia" w:ascii="Times New Roman" w:hAnsi="Times New Roman" w:eastAsia="仿宋" w:cs="Times New Roman"/>
                <w:bCs/>
                <w:sz w:val="24"/>
                <w:szCs w:val="24"/>
              </w:rPr>
              <w:t>□农村商业银行</w:t>
            </w:r>
            <w:r>
              <w:rPr>
                <w:rFonts w:ascii="Times New Roman" w:hAnsi="Times New Roman" w:eastAsia="仿宋" w:cs="Times New Roman"/>
                <w:bCs/>
                <w:sz w:val="24"/>
                <w:szCs w:val="24"/>
              </w:rPr>
              <w:t xml:space="preserve">    </w:t>
            </w:r>
            <w:r>
              <w:rPr>
                <w:rFonts w:hint="eastAsia" w:ascii="Times New Roman" w:hAnsi="Times New Roman" w:eastAsia="仿宋" w:cs="Times New Roman"/>
                <w:bCs/>
                <w:sz w:val="24"/>
                <w:szCs w:val="24"/>
              </w:rPr>
              <w:t>□农村合作银行</w:t>
            </w:r>
          </w:p>
          <w:p>
            <w:pPr>
              <w:jc w:val="left"/>
              <w:rPr>
                <w:rFonts w:ascii="Times New Roman" w:hAnsi="Times New Roman" w:eastAsia="仿宋" w:cs="Times New Roman"/>
                <w:bCs/>
                <w:sz w:val="24"/>
                <w:szCs w:val="24"/>
              </w:rPr>
            </w:pPr>
            <w:r>
              <w:rPr>
                <w:rFonts w:hint="eastAsia" w:ascii="Times New Roman" w:hAnsi="Times New Roman" w:eastAsia="仿宋" w:cs="Times New Roman"/>
                <w:bCs/>
                <w:sz w:val="24"/>
                <w:szCs w:val="24"/>
              </w:rPr>
              <w:t>□农</w:t>
            </w:r>
            <w:r>
              <w:rPr>
                <w:rFonts w:ascii="Times New Roman" w:hAnsi="Times New Roman" w:eastAsia="仿宋" w:cs="Times New Roman"/>
                <w:bCs/>
                <w:sz w:val="24"/>
                <w:szCs w:val="24"/>
              </w:rPr>
              <w:t>村信用</w:t>
            </w:r>
            <w:r>
              <w:rPr>
                <w:rFonts w:hint="eastAsia" w:ascii="Times New Roman" w:hAnsi="Times New Roman" w:eastAsia="仿宋" w:cs="Times New Roman"/>
                <w:bCs/>
                <w:sz w:val="24"/>
                <w:szCs w:val="24"/>
              </w:rPr>
              <w:t xml:space="preserve">社 </w:t>
            </w:r>
            <w:r>
              <w:rPr>
                <w:rFonts w:ascii="Times New Roman" w:hAnsi="Times New Roman" w:eastAsia="仿宋" w:cs="Times New Roman"/>
                <w:bCs/>
                <w:sz w:val="24"/>
                <w:szCs w:val="24"/>
              </w:rPr>
              <w:t xml:space="preserve">     </w:t>
            </w:r>
            <w:r>
              <w:rPr>
                <w:rFonts w:hint="eastAsia" w:ascii="Times New Roman" w:hAnsi="Times New Roman" w:eastAsia="仿宋" w:cs="Times New Roman"/>
                <w:bCs/>
                <w:sz w:val="24"/>
                <w:szCs w:val="24"/>
              </w:rPr>
              <w:t>□外资法人银行</w:t>
            </w:r>
          </w:p>
          <w:p>
            <w:pPr>
              <w:jc w:val="left"/>
              <w:rPr>
                <w:rFonts w:ascii="Times New Roman" w:hAnsi="Times New Roman" w:eastAsia="仿宋" w:cs="Times New Roman"/>
                <w:bCs/>
                <w:sz w:val="24"/>
                <w:szCs w:val="24"/>
              </w:rPr>
            </w:pPr>
            <w:r>
              <w:rPr>
                <w:rFonts w:hint="eastAsia" w:ascii="Times New Roman" w:hAnsi="Times New Roman" w:eastAsia="仿宋" w:cs="Times New Roman"/>
                <w:bCs/>
                <w:sz w:val="24"/>
                <w:szCs w:val="24"/>
              </w:rPr>
              <w:t>□村镇银行        □其他：</w:t>
            </w:r>
            <w:r>
              <w:rPr>
                <w:rFonts w:ascii="Times New Roman" w:hAnsi="Times New Roman" w:eastAsia="仿宋" w:cs="Times New Roman"/>
                <w:bCs/>
                <w:sz w:val="24"/>
                <w:szCs w:val="24"/>
              </w:rPr>
              <w:softHyphen/>
            </w:r>
            <w:r>
              <w:rPr>
                <w:rFonts w:ascii="Times New Roman" w:hAnsi="Times New Roman" w:eastAsia="仿宋" w:cs="Times New Roman"/>
                <w:bCs/>
                <w:sz w:val="24"/>
                <w:szCs w:val="24"/>
              </w:rPr>
              <w:softHyphen/>
            </w:r>
            <w:r>
              <w:rPr>
                <w:rFonts w:ascii="Times New Roman" w:hAnsi="Times New Roman" w:eastAsia="仿宋" w:cs="Times New Roman"/>
                <w:bCs/>
                <w:sz w:val="24"/>
                <w:szCs w:val="24"/>
              </w:rPr>
              <w:softHyphen/>
            </w:r>
            <w:r>
              <w:rPr>
                <w:rFonts w:ascii="Times New Roman" w:hAnsi="Times New Roman" w:eastAsia="仿宋" w:cs="Times New Roman"/>
                <w:bCs/>
                <w:sz w:val="24"/>
                <w:szCs w:val="24"/>
              </w:rPr>
              <w:softHyphen/>
            </w:r>
            <w:r>
              <w:rPr>
                <w:rFonts w:ascii="Times New Roman" w:hAnsi="Times New Roman" w:eastAsia="仿宋" w:cs="Times New Roman"/>
                <w:bCs/>
                <w:sz w:val="24"/>
                <w:szCs w:val="24"/>
              </w:rPr>
              <w:t>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404"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bCs/>
                <w:sz w:val="24"/>
                <w:szCs w:val="24"/>
              </w:rPr>
            </w:pPr>
            <w:r>
              <w:rPr>
                <w:rFonts w:hint="eastAsia" w:ascii="Times New Roman" w:hAnsi="Times New Roman" w:eastAsia="仿宋" w:cs="Times New Roman"/>
                <w:bCs/>
                <w:sz w:val="24"/>
                <w:szCs w:val="24"/>
              </w:rPr>
              <w:t>非金融机构</w:t>
            </w:r>
          </w:p>
        </w:tc>
        <w:tc>
          <w:tcPr>
            <w:tcW w:w="633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bCs/>
                <w:sz w:val="24"/>
                <w:szCs w:val="24"/>
              </w:rPr>
            </w:pPr>
            <w:r>
              <w:rPr>
                <w:rFonts w:hint="eastAsia" w:ascii="Times New Roman" w:hAnsi="Times New Roman" w:eastAsia="仿宋" w:cs="Times New Roman"/>
                <w:bCs/>
                <w:sz w:val="24"/>
                <w:szCs w:val="24"/>
              </w:rPr>
              <w:t>□非金融企业      □其他：</w:t>
            </w:r>
            <w:r>
              <w:rPr>
                <w:rFonts w:ascii="Times New Roman" w:hAnsi="Times New Roman" w:eastAsia="仿宋" w:cs="Times New Roman"/>
                <w:bCs/>
                <w:sz w:val="24"/>
                <w:szCs w:val="24"/>
              </w:rPr>
              <w:softHyphen/>
            </w:r>
            <w:r>
              <w:rPr>
                <w:rFonts w:ascii="Times New Roman" w:hAnsi="Times New Roman" w:eastAsia="仿宋" w:cs="Times New Roman"/>
                <w:bCs/>
                <w:sz w:val="24"/>
                <w:szCs w:val="24"/>
              </w:rPr>
              <w:softHyphen/>
            </w:r>
            <w:r>
              <w:rPr>
                <w:rFonts w:ascii="Times New Roman" w:hAnsi="Times New Roman" w:eastAsia="仿宋" w:cs="Times New Roman"/>
                <w:bCs/>
                <w:sz w:val="24"/>
                <w:szCs w:val="24"/>
              </w:rPr>
              <w:t>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8736" w:type="dxa"/>
            <w:gridSpan w:val="5"/>
            <w:tcBorders>
              <w:top w:val="single" w:color="auto" w:sz="4" w:space="0"/>
              <w:left w:val="single" w:color="auto" w:sz="4" w:space="0"/>
              <w:right w:val="single" w:color="auto" w:sz="4" w:space="0"/>
            </w:tcBorders>
            <w:vAlign w:val="center"/>
          </w:tcPr>
          <w:p>
            <w:pPr>
              <w:tabs>
                <w:tab w:val="center" w:pos="4153"/>
                <w:tab w:val="right" w:pos="8306"/>
              </w:tabs>
              <w:snapToGrid w:val="0"/>
              <w:spacing w:before="240" w:after="240"/>
              <w:ind w:firstLine="480" w:firstLineChars="200"/>
              <w:contextualSpacing/>
              <w:rPr>
                <w:rFonts w:ascii="仿宋" w:hAnsi="仿宋" w:eastAsia="仿宋" w:cs="Times New Roman"/>
                <w:kern w:val="0"/>
                <w:sz w:val="24"/>
                <w:szCs w:val="24"/>
              </w:rPr>
            </w:pPr>
            <w:r>
              <w:rPr>
                <w:rFonts w:hint="eastAsia" w:ascii="仿宋" w:hAnsi="仿宋" w:eastAsia="仿宋" w:cs="Times New Roman"/>
                <w:kern w:val="0"/>
                <w:sz w:val="24"/>
                <w:szCs w:val="24"/>
              </w:rPr>
              <w:t>本机构</w:t>
            </w:r>
            <w:r>
              <w:rPr>
                <w:rFonts w:ascii="仿宋" w:hAnsi="仿宋" w:eastAsia="仿宋" w:cs="Times New Roman"/>
                <w:kern w:val="0"/>
                <w:sz w:val="24"/>
                <w:szCs w:val="24"/>
              </w:rPr>
              <w:t>申请在贵公司开立</w:t>
            </w:r>
            <w:r>
              <w:rPr>
                <w:rFonts w:hint="eastAsia" w:ascii="仿宋" w:hAnsi="仿宋" w:eastAsia="仿宋" w:cs="Times New Roman"/>
                <w:kern w:val="0"/>
                <w:sz w:val="24"/>
                <w:szCs w:val="24"/>
              </w:rPr>
              <w:t>费用缴纳</w:t>
            </w:r>
            <w:r>
              <w:rPr>
                <w:rFonts w:ascii="仿宋" w:hAnsi="仿宋" w:eastAsia="仿宋" w:cs="Times New Roman"/>
                <w:kern w:val="0"/>
                <w:sz w:val="24"/>
                <w:szCs w:val="24"/>
              </w:rPr>
              <w:t>专户，并授权贵公司可直接通过</w:t>
            </w:r>
            <w:r>
              <w:rPr>
                <w:rFonts w:hint="eastAsia" w:ascii="仿宋" w:hAnsi="仿宋" w:eastAsia="仿宋" w:cs="Times New Roman"/>
                <w:kern w:val="0"/>
                <w:sz w:val="24"/>
                <w:szCs w:val="24"/>
              </w:rPr>
              <w:t>本机构费用缴纳</w:t>
            </w:r>
            <w:r>
              <w:rPr>
                <w:rFonts w:ascii="仿宋" w:hAnsi="仿宋" w:eastAsia="仿宋" w:cs="Times New Roman"/>
                <w:kern w:val="0"/>
                <w:sz w:val="24"/>
                <w:szCs w:val="24"/>
              </w:rPr>
              <w:t>账户扣收</w:t>
            </w:r>
            <w:r>
              <w:rPr>
                <w:rFonts w:hint="eastAsia" w:ascii="仿宋" w:hAnsi="仿宋" w:eastAsia="仿宋" w:cs="Times New Roman"/>
                <w:kern w:val="0"/>
                <w:sz w:val="24"/>
                <w:szCs w:val="24"/>
              </w:rPr>
              <w:t>本机构</w:t>
            </w:r>
            <w:r>
              <w:rPr>
                <w:rFonts w:ascii="仿宋" w:hAnsi="仿宋" w:eastAsia="仿宋" w:cs="Times New Roman"/>
                <w:kern w:val="0"/>
                <w:sz w:val="24"/>
                <w:szCs w:val="24"/>
              </w:rPr>
              <w:t>因</w:t>
            </w:r>
            <w:r>
              <w:rPr>
                <w:rFonts w:hint="eastAsia" w:ascii="仿宋" w:hAnsi="仿宋" w:eastAsia="仿宋" w:cs="Times New Roman"/>
                <w:sz w:val="24"/>
                <w:szCs w:val="24"/>
              </w:rPr>
              <w:t>大宗商品</w:t>
            </w:r>
            <w:r>
              <w:rPr>
                <w:rFonts w:ascii="仿宋" w:hAnsi="仿宋" w:eastAsia="仿宋" w:cs="Times New Roman"/>
                <w:sz w:val="24"/>
                <w:szCs w:val="24"/>
              </w:rPr>
              <w:t>现货清算业务</w:t>
            </w:r>
            <w:r>
              <w:rPr>
                <w:rFonts w:ascii="仿宋" w:hAnsi="仿宋" w:eastAsia="仿宋" w:cs="Times New Roman"/>
                <w:kern w:val="0"/>
                <w:sz w:val="24"/>
                <w:szCs w:val="24"/>
              </w:rPr>
              <w:t>产生的相关费用。</w:t>
            </w:r>
          </w:p>
          <w:p>
            <w:pPr>
              <w:rPr>
                <w:rFonts w:ascii="Times New Roman" w:hAnsi="Times New Roman" w:eastAsia="仿宋" w:cs="Times New Roman"/>
                <w:szCs w:val="21"/>
              </w:rPr>
            </w:pPr>
          </w:p>
          <w:p>
            <w:pPr>
              <w:rPr>
                <w:rFonts w:ascii="Times New Roman" w:hAnsi="Times New Roman" w:eastAsia="仿宋" w:cs="Times New Roman"/>
                <w:szCs w:val="21"/>
              </w:rPr>
            </w:pPr>
          </w:p>
          <w:p>
            <w:pPr>
              <w:ind w:firstLine="2880" w:firstLineChars="1200"/>
              <w:rPr>
                <w:rFonts w:ascii="Times New Roman" w:hAnsi="Times New Roman" w:eastAsia="仿宋" w:cs="Times New Roman"/>
                <w:sz w:val="24"/>
                <w:szCs w:val="24"/>
              </w:rPr>
            </w:pPr>
            <w:r>
              <w:rPr>
                <w:rFonts w:ascii="Times New Roman" w:hAnsi="Times New Roman" w:eastAsia="仿宋" w:cs="Times New Roman"/>
                <w:sz w:val="24"/>
                <w:szCs w:val="24"/>
              </w:rPr>
              <w:t>申请单位公章或</w:t>
            </w:r>
            <w:r>
              <w:rPr>
                <w:rFonts w:hint="eastAsia" w:ascii="Times New Roman" w:hAnsi="Times New Roman" w:eastAsia="仿宋" w:cs="Times New Roman"/>
                <w:sz w:val="24"/>
                <w:szCs w:val="24"/>
              </w:rPr>
              <w:t>预留</w:t>
            </w:r>
            <w:r>
              <w:rPr>
                <w:rFonts w:ascii="Times New Roman" w:hAnsi="Times New Roman" w:eastAsia="仿宋" w:cs="Times New Roman"/>
                <w:sz w:val="24"/>
                <w:szCs w:val="24"/>
              </w:rPr>
              <w:t>印鉴章</w:t>
            </w:r>
            <w:r>
              <w:rPr>
                <w:rFonts w:hint="eastAsia" w:ascii="Times New Roman" w:hAnsi="Times New Roman" w:eastAsia="仿宋" w:cs="Times New Roman"/>
                <w:sz w:val="24"/>
                <w:szCs w:val="24"/>
              </w:rPr>
              <w:t>：</w:t>
            </w:r>
          </w:p>
          <w:p>
            <w:pPr>
              <w:rPr>
                <w:rFonts w:ascii="Times New Roman" w:hAnsi="Times New Roman" w:eastAsia="仿宋" w:cs="Times New Roman"/>
                <w:szCs w:val="21"/>
              </w:rPr>
            </w:pPr>
          </w:p>
          <w:p>
            <w:pPr>
              <w:jc w:val="right"/>
              <w:rPr>
                <w:rFonts w:ascii="Times New Roman" w:hAnsi="Times New Roman" w:eastAsia="仿宋" w:cs="Times New Roman"/>
                <w:bCs/>
                <w:sz w:val="24"/>
                <w:szCs w:val="24"/>
              </w:rPr>
            </w:pPr>
            <w:r>
              <w:rPr>
                <w:rFonts w:ascii="Times New Roman" w:hAnsi="Times New Roman" w:eastAsia="仿宋" w:cs="Times New Roman"/>
                <w:sz w:val="24"/>
                <w:szCs w:val="24"/>
              </w:rPr>
              <w:t>年     月    日</w:t>
            </w:r>
          </w:p>
        </w:tc>
      </w:tr>
    </w:tbl>
    <w:p>
      <w:pPr>
        <w:jc w:val="left"/>
        <w:rPr>
          <w:rFonts w:ascii="Times New Roman" w:hAnsi="Times New Roman" w:eastAsia="仿宋" w:cs="Times New Roman"/>
          <w:b/>
          <w:sz w:val="24"/>
          <w:szCs w:val="24"/>
        </w:rPr>
      </w:pPr>
      <w:r>
        <w:rPr>
          <w:rFonts w:ascii="Times New Roman" w:hAnsi="Times New Roman" w:eastAsia="仿宋" w:cs="Times New Roman"/>
          <w:b/>
          <w:sz w:val="24"/>
          <w:szCs w:val="24"/>
        </w:rPr>
        <w:t>填表说明:</w:t>
      </w:r>
    </w:p>
    <w:p>
      <w:pPr>
        <w:numPr>
          <w:ilvl w:val="0"/>
          <w:numId w:val="6"/>
        </w:numPr>
        <w:ind w:left="0" w:firstLine="0"/>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申请类型为“新增持有人账户”的，不填持有人账户账号，需完整填写持有人基本信息和持有人机构类型；申请类型为“仅费用缴纳专户”的，填写持有人账户账号，不填持有人信息。</w:t>
      </w:r>
    </w:p>
    <w:p>
      <w:pPr>
        <w:numPr>
          <w:ilvl w:val="0"/>
          <w:numId w:val="6"/>
        </w:numPr>
        <w:ind w:left="0" w:firstLine="0"/>
        <w:jc w:val="left"/>
        <w:rPr>
          <w:rFonts w:ascii="Times New Roman" w:hAnsi="Times New Roman" w:eastAsia="仿宋" w:cs="Times New Roman"/>
          <w:sz w:val="24"/>
          <w:szCs w:val="24"/>
        </w:rPr>
      </w:pPr>
      <w:r>
        <w:rPr>
          <w:rFonts w:ascii="Times New Roman" w:hAnsi="Times New Roman" w:eastAsia="仿宋" w:cs="Times New Roman"/>
          <w:sz w:val="22"/>
        </w:rPr>
        <w:t>上述内容若无特别说明，均为必填项，除签名、盖章和日期外，所有信息请勿手写，须</w:t>
      </w:r>
      <w:r>
        <w:rPr>
          <w:rFonts w:hint="eastAsia" w:ascii="Times New Roman" w:hAnsi="Times New Roman" w:eastAsia="仿宋" w:cs="Times New Roman"/>
          <w:sz w:val="22"/>
        </w:rPr>
        <w:t>单</w:t>
      </w:r>
      <w:r>
        <w:rPr>
          <w:rFonts w:ascii="Times New Roman" w:hAnsi="Times New Roman" w:eastAsia="仿宋" w:cs="Times New Roman"/>
          <w:sz w:val="22"/>
        </w:rPr>
        <w:t>面打印</w:t>
      </w:r>
      <w:r>
        <w:rPr>
          <w:rFonts w:hint="eastAsia" w:ascii="Times New Roman" w:hAnsi="Times New Roman" w:eastAsia="仿宋" w:cs="Times New Roman"/>
          <w:sz w:val="22"/>
        </w:rPr>
        <w:t>（本填表说明无需打印）</w:t>
      </w:r>
      <w:r>
        <w:rPr>
          <w:rFonts w:ascii="Times New Roman" w:hAnsi="Times New Roman" w:eastAsia="仿宋" w:cs="Times New Roman"/>
          <w:sz w:val="22"/>
        </w:rPr>
        <w:t>并加盖</w:t>
      </w:r>
      <w:r>
        <w:rPr>
          <w:rFonts w:hint="eastAsia" w:ascii="Times New Roman" w:hAnsi="Times New Roman" w:eastAsia="仿宋" w:cs="Times New Roman"/>
          <w:sz w:val="22"/>
        </w:rPr>
        <w:t>骑缝章。</w:t>
      </w:r>
    </w:p>
    <w:p>
      <w:pPr>
        <w:numPr>
          <w:ilvl w:val="0"/>
          <w:numId w:val="6"/>
        </w:numPr>
        <w:ind w:left="0" w:firstLine="0"/>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账户户名全称应以该法人在工商管理登记部门登记的名称命名。账户户名简称由持有人自行命名，不得超过</w:t>
      </w:r>
      <w:r>
        <w:rPr>
          <w:rFonts w:ascii="Times New Roman" w:hAnsi="Times New Roman" w:eastAsia="仿宋" w:cs="Times New Roman"/>
          <w:sz w:val="24"/>
          <w:szCs w:val="24"/>
        </w:rPr>
        <w:t>12</w:t>
      </w:r>
      <w:r>
        <w:rPr>
          <w:rFonts w:hint="eastAsia" w:ascii="Times New Roman" w:hAnsi="Times New Roman" w:eastAsia="仿宋" w:cs="Times New Roman"/>
          <w:sz w:val="24"/>
          <w:szCs w:val="24"/>
        </w:rPr>
        <w:t>个汉字。</w:t>
      </w:r>
    </w:p>
    <w:p>
      <w:pPr>
        <w:numPr>
          <w:ilvl w:val="0"/>
          <w:numId w:val="6"/>
        </w:numPr>
        <w:ind w:left="0" w:firstLine="0"/>
        <w:jc w:val="left"/>
        <w:rPr>
          <w:rFonts w:ascii="Times New Roman" w:hAnsi="Times New Roman" w:eastAsia="仿宋" w:cs="Times New Roman"/>
          <w:sz w:val="24"/>
          <w:szCs w:val="24"/>
        </w:rPr>
        <w:sectPr>
          <w:pgSz w:w="11906" w:h="16838"/>
          <w:pgMar w:top="1440" w:right="1800" w:bottom="1440" w:left="1800" w:header="851" w:footer="992" w:gutter="0"/>
          <w:cols w:space="425" w:num="1"/>
          <w:docGrid w:type="lines" w:linePitch="312" w:charSpace="0"/>
        </w:sectPr>
      </w:pPr>
    </w:p>
    <w:p>
      <w:pPr>
        <w:widowControl/>
        <w:spacing w:line="580" w:lineRule="exact"/>
        <w:jc w:val="left"/>
        <w:rPr>
          <w:rFonts w:ascii="黑体" w:hAnsi="宋体" w:eastAsia="黑体"/>
          <w:sz w:val="32"/>
          <w:szCs w:val="32"/>
          <w:lang w:bidi="ar"/>
        </w:rPr>
      </w:pPr>
      <w:r>
        <w:rPr>
          <w:rFonts w:ascii="黑体" w:hAnsi="宋体" w:eastAsia="黑体"/>
          <w:sz w:val="32"/>
          <w:szCs w:val="32"/>
          <w:lang w:bidi="ar"/>
        </w:rPr>
        <w:t>附</w:t>
      </w:r>
      <w:r>
        <w:rPr>
          <w:rFonts w:hint="eastAsia" w:ascii="黑体" w:hAnsi="宋体" w:eastAsia="黑体"/>
          <w:sz w:val="32"/>
          <w:szCs w:val="32"/>
          <w:lang w:bidi="ar"/>
        </w:rPr>
        <w:t>9</w:t>
      </w:r>
    </w:p>
    <w:p>
      <w:pPr>
        <w:spacing w:line="360" w:lineRule="auto"/>
        <w:jc w:val="center"/>
        <w:rPr>
          <w:rFonts w:ascii="宋体" w:hAnsi="宋体" w:cs="宋体"/>
          <w:b/>
          <w:sz w:val="44"/>
          <w:szCs w:val="44"/>
          <w:lang w:bidi="ar"/>
        </w:rPr>
      </w:pPr>
      <w:r>
        <w:rPr>
          <w:rFonts w:hint="eastAsia" w:ascii="宋体" w:hAnsi="宋体" w:cs="宋体"/>
          <w:b/>
          <w:sz w:val="44"/>
          <w:szCs w:val="44"/>
          <w:lang w:bidi="ar"/>
        </w:rPr>
        <w:t>银行间市场清算所股份有限公司</w:t>
      </w:r>
    </w:p>
    <w:p>
      <w:pPr>
        <w:spacing w:line="360" w:lineRule="auto"/>
        <w:jc w:val="center"/>
        <w:rPr>
          <w:rFonts w:ascii="宋体" w:hAnsi="宋体" w:cs="宋体"/>
          <w:b/>
          <w:sz w:val="44"/>
          <w:szCs w:val="44"/>
          <w:lang w:bidi="ar"/>
        </w:rPr>
      </w:pPr>
      <w:r>
        <w:rPr>
          <w:rFonts w:hint="eastAsia" w:ascii="宋体" w:hAnsi="宋体" w:cs="宋体"/>
          <w:b/>
          <w:sz w:val="44"/>
          <w:szCs w:val="44"/>
          <w:lang w:bidi="ar"/>
        </w:rPr>
        <w:t>大宗商品现货清算业务</w:t>
      </w:r>
    </w:p>
    <w:p>
      <w:pPr>
        <w:spacing w:line="360" w:lineRule="auto"/>
        <w:jc w:val="center"/>
        <w:rPr>
          <w:rFonts w:ascii="宋体" w:hAnsi="宋体" w:cs="宋体"/>
          <w:b/>
          <w:sz w:val="44"/>
          <w:szCs w:val="44"/>
          <w:lang w:bidi="ar"/>
        </w:rPr>
      </w:pPr>
      <w:r>
        <w:rPr>
          <w:rFonts w:hint="eastAsia" w:ascii="宋体" w:hAnsi="宋体" w:cs="宋体"/>
          <w:b/>
          <w:sz w:val="44"/>
          <w:szCs w:val="44"/>
          <w:lang w:bidi="ar"/>
        </w:rPr>
        <w:t>现货</w:t>
      </w:r>
      <w:r>
        <w:rPr>
          <w:rFonts w:ascii="宋体" w:hAnsi="宋体" w:cs="宋体"/>
          <w:b/>
          <w:sz w:val="44"/>
          <w:szCs w:val="44"/>
          <w:lang w:bidi="ar"/>
        </w:rPr>
        <w:t>清算成员</w:t>
      </w:r>
      <w:r>
        <w:rPr>
          <w:rFonts w:hint="eastAsia" w:ascii="宋体" w:hAnsi="宋体" w:cs="宋体"/>
          <w:b/>
          <w:sz w:val="44"/>
          <w:szCs w:val="44"/>
          <w:lang w:bidi="ar"/>
        </w:rPr>
        <w:t>资格申请书</w:t>
      </w:r>
    </w:p>
    <w:p>
      <w:pPr>
        <w:spacing w:after="100" w:afterAutospacing="1" w:line="360" w:lineRule="auto"/>
        <w:contextualSpacing/>
        <w:rPr>
          <w:rFonts w:ascii="Times New Roman" w:hAnsi="Times New Roman" w:eastAsia="仿宋"/>
          <w:sz w:val="24"/>
          <w:szCs w:val="24"/>
        </w:rPr>
      </w:pPr>
    </w:p>
    <w:p>
      <w:pPr>
        <w:spacing w:after="100" w:afterAutospacing="1" w:line="360" w:lineRule="auto"/>
        <w:contextualSpacing/>
        <w:rPr>
          <w:rFonts w:ascii="Times New Roman" w:hAnsi="Times New Roman" w:eastAsia="仿宋"/>
          <w:sz w:val="24"/>
          <w:szCs w:val="24"/>
        </w:rPr>
      </w:pPr>
      <w:r>
        <w:rPr>
          <w:rFonts w:hint="eastAsia" w:ascii="Times New Roman" w:hAnsi="Times New Roman" w:eastAsia="仿宋"/>
          <w:sz w:val="24"/>
          <w:szCs w:val="24"/>
        </w:rPr>
        <w:t>银行间市场清算所股份有限公司：</w:t>
      </w:r>
    </w:p>
    <w:p>
      <w:pPr>
        <w:spacing w:line="360" w:lineRule="auto"/>
        <w:ind w:firstLine="484" w:firstLineChars="202"/>
        <w:contextualSpacing/>
        <w:rPr>
          <w:rFonts w:ascii="仿宋" w:hAnsi="仿宋" w:eastAsia="仿宋"/>
          <w:sz w:val="24"/>
          <w:szCs w:val="24"/>
        </w:rPr>
      </w:pPr>
      <w:r>
        <w:rPr>
          <w:rFonts w:hint="eastAsia" w:ascii="仿宋" w:hAnsi="仿宋" w:eastAsia="仿宋"/>
          <w:sz w:val="24"/>
          <w:szCs w:val="24"/>
        </w:rPr>
        <w:t>本机构自愿申请银行间市场清算所股份有限公司大宗商品现货清算业务</w:t>
      </w:r>
      <w:r>
        <w:rPr>
          <w:rFonts w:ascii="仿宋" w:hAnsi="仿宋" w:eastAsia="仿宋"/>
          <w:sz w:val="24"/>
          <w:szCs w:val="24"/>
        </w:rPr>
        <w:t>（</w:t>
      </w:r>
      <w:r>
        <w:rPr>
          <w:rFonts w:hint="eastAsia" w:ascii="仿宋" w:hAnsi="仿宋" w:eastAsia="仿宋"/>
          <w:sz w:val="24"/>
          <w:szCs w:val="24"/>
        </w:rPr>
        <w:t>以下简称</w:t>
      </w:r>
      <w:r>
        <w:rPr>
          <w:rFonts w:ascii="仿宋" w:hAnsi="仿宋" w:eastAsia="仿宋"/>
          <w:sz w:val="24"/>
          <w:szCs w:val="24"/>
        </w:rPr>
        <w:t>现货清算业务）</w:t>
      </w:r>
      <w:r>
        <w:rPr>
          <w:rFonts w:hint="eastAsia" w:ascii="Times New Roman" w:hAnsi="Times New Roman" w:eastAsia="仿宋"/>
          <w:kern w:val="0"/>
          <w:sz w:val="24"/>
          <w:szCs w:val="24"/>
          <w:u w:val="single"/>
        </w:rPr>
        <w:t>□境内业务</w:t>
      </w:r>
      <w:r>
        <w:rPr>
          <w:rFonts w:ascii="Times New Roman" w:hAnsi="Times New Roman" w:eastAsia="仿宋"/>
          <w:kern w:val="0"/>
          <w:sz w:val="24"/>
          <w:szCs w:val="24"/>
        </w:rPr>
        <w:t xml:space="preserve"> </w:t>
      </w:r>
      <w:r>
        <w:rPr>
          <w:rFonts w:hint="eastAsia" w:ascii="Times New Roman" w:hAnsi="Times New Roman" w:eastAsia="仿宋"/>
          <w:kern w:val="0"/>
          <w:sz w:val="24"/>
          <w:szCs w:val="24"/>
          <w:u w:val="single"/>
        </w:rPr>
        <w:t>□上海自</w:t>
      </w:r>
      <w:r>
        <w:rPr>
          <w:rFonts w:ascii="Times New Roman" w:hAnsi="Times New Roman" w:eastAsia="仿宋"/>
          <w:kern w:val="0"/>
          <w:sz w:val="24"/>
          <w:szCs w:val="24"/>
          <w:u w:val="single"/>
        </w:rPr>
        <w:t>贸区业务</w:t>
      </w:r>
      <w:r>
        <w:rPr>
          <w:rFonts w:hint="eastAsia" w:ascii="Times New Roman" w:hAnsi="Times New Roman" w:eastAsia="仿宋"/>
          <w:kern w:val="0"/>
          <w:sz w:val="24"/>
          <w:szCs w:val="24"/>
        </w:rPr>
        <w:t>的</w:t>
      </w:r>
      <w:r>
        <w:rPr>
          <w:rFonts w:hint="eastAsia" w:ascii="仿宋" w:hAnsi="仿宋" w:eastAsia="仿宋"/>
          <w:sz w:val="24"/>
          <w:szCs w:val="24"/>
        </w:rPr>
        <w:t>现货清算</w:t>
      </w:r>
      <w:r>
        <w:rPr>
          <w:rFonts w:ascii="仿宋" w:hAnsi="仿宋" w:eastAsia="仿宋"/>
          <w:sz w:val="24"/>
          <w:szCs w:val="24"/>
        </w:rPr>
        <w:t>成员</w:t>
      </w:r>
      <w:r>
        <w:rPr>
          <w:rFonts w:hint="eastAsia" w:ascii="仿宋" w:hAnsi="仿宋" w:eastAsia="仿宋"/>
          <w:sz w:val="24"/>
          <w:szCs w:val="24"/>
        </w:rPr>
        <w:t>资格。</w:t>
      </w:r>
    </w:p>
    <w:p>
      <w:pPr>
        <w:spacing w:line="360" w:lineRule="auto"/>
        <w:ind w:firstLine="484" w:firstLineChars="202"/>
        <w:contextualSpacing/>
        <w:rPr>
          <w:rFonts w:ascii="仿宋" w:hAnsi="仿宋" w:eastAsia="仿宋"/>
          <w:sz w:val="24"/>
          <w:szCs w:val="24"/>
        </w:rPr>
      </w:pPr>
      <w:r>
        <w:rPr>
          <w:rFonts w:hint="eastAsia" w:ascii="仿宋" w:hAnsi="仿宋" w:eastAsia="仿宋"/>
          <w:sz w:val="24"/>
          <w:szCs w:val="24"/>
        </w:rPr>
        <w:t>一、本机构基本情况</w:t>
      </w:r>
    </w:p>
    <w:p>
      <w:pPr>
        <w:spacing w:line="360" w:lineRule="auto"/>
        <w:ind w:firstLine="484" w:firstLineChars="202"/>
        <w:contextualSpacing/>
        <w:rPr>
          <w:rFonts w:ascii="仿宋" w:hAnsi="仿宋" w:eastAsia="仿宋"/>
          <w:sz w:val="24"/>
          <w:szCs w:val="24"/>
        </w:rPr>
      </w:pPr>
      <w:r>
        <w:rPr>
          <w:rFonts w:hint="eastAsia" w:ascii="仿宋" w:hAnsi="仿宋" w:eastAsia="仿宋"/>
          <w:sz w:val="24"/>
          <w:szCs w:val="24"/>
        </w:rPr>
        <w:t>（简要介绍申请机构概况，包括但不限于注册资本、业务范围、机构历史沿革、行业地位、控股股东情况、内部控制组织机构设置及运行情况等）。</w:t>
      </w:r>
    </w:p>
    <w:p>
      <w:pPr>
        <w:spacing w:line="360" w:lineRule="auto"/>
        <w:ind w:firstLine="484" w:firstLineChars="202"/>
        <w:contextualSpacing/>
        <w:rPr>
          <w:rFonts w:ascii="仿宋" w:hAnsi="仿宋" w:eastAsia="仿宋"/>
          <w:sz w:val="24"/>
          <w:szCs w:val="24"/>
        </w:rPr>
      </w:pPr>
      <w:r>
        <w:rPr>
          <w:rFonts w:hint="eastAsia" w:ascii="仿宋" w:hAnsi="仿宋" w:eastAsia="仿宋"/>
          <w:sz w:val="24"/>
          <w:szCs w:val="24"/>
        </w:rPr>
        <w:t>二、本机构关于参与现货清算业务的初步规划</w:t>
      </w:r>
    </w:p>
    <w:p>
      <w:pPr>
        <w:spacing w:line="360" w:lineRule="auto"/>
        <w:ind w:firstLine="484" w:firstLineChars="202"/>
        <w:contextualSpacing/>
        <w:rPr>
          <w:rFonts w:ascii="仿宋" w:hAnsi="仿宋" w:eastAsia="仿宋"/>
          <w:sz w:val="24"/>
          <w:szCs w:val="24"/>
        </w:rPr>
      </w:pPr>
      <w:r>
        <w:rPr>
          <w:rFonts w:hint="eastAsia" w:ascii="仿宋" w:hAnsi="仿宋" w:eastAsia="仿宋"/>
          <w:sz w:val="24"/>
          <w:szCs w:val="24"/>
        </w:rPr>
        <w:t>（简要介绍成为现货清算业务现货清算成员后，申请机构对内部风险控制等方面的计划）。</w:t>
      </w:r>
    </w:p>
    <w:p>
      <w:pPr>
        <w:widowControl/>
        <w:spacing w:before="100" w:beforeAutospacing="1" w:after="100" w:afterAutospacing="1" w:line="360" w:lineRule="auto"/>
        <w:ind w:firstLine="480" w:firstLineChars="200"/>
        <w:contextualSpacing/>
        <w:rPr>
          <w:rFonts w:ascii="仿宋" w:hAnsi="仿宋" w:eastAsia="仿宋"/>
          <w:sz w:val="24"/>
          <w:szCs w:val="24"/>
        </w:rPr>
      </w:pPr>
      <w:r>
        <w:rPr>
          <w:rFonts w:hint="eastAsia" w:ascii="仿宋" w:hAnsi="仿宋" w:eastAsia="仿宋"/>
          <w:sz w:val="24"/>
          <w:szCs w:val="24"/>
        </w:rPr>
        <w:t>三、承诺事项（范例）</w:t>
      </w:r>
    </w:p>
    <w:p>
      <w:pPr>
        <w:widowControl/>
        <w:spacing w:before="100" w:beforeAutospacing="1" w:after="100" w:afterAutospacing="1" w:line="360" w:lineRule="auto"/>
        <w:ind w:firstLine="480" w:firstLineChars="200"/>
        <w:contextualSpacing/>
        <w:rPr>
          <w:rFonts w:ascii="仿宋" w:hAnsi="仿宋" w:eastAsia="仿宋"/>
          <w:sz w:val="24"/>
          <w:szCs w:val="24"/>
        </w:rPr>
      </w:pPr>
      <w:r>
        <w:rPr>
          <w:rFonts w:hint="eastAsia" w:ascii="仿宋" w:hAnsi="仿宋" w:eastAsia="仿宋"/>
          <w:sz w:val="24"/>
          <w:szCs w:val="24"/>
        </w:rPr>
        <w:t>本机构成为现货清算业务现货清算</w:t>
      </w:r>
      <w:r>
        <w:rPr>
          <w:rFonts w:ascii="仿宋" w:hAnsi="仿宋" w:eastAsia="仿宋"/>
          <w:sz w:val="24"/>
          <w:szCs w:val="24"/>
        </w:rPr>
        <w:t>成员</w:t>
      </w:r>
      <w:r>
        <w:rPr>
          <w:rFonts w:hint="eastAsia" w:ascii="仿宋" w:hAnsi="仿宋" w:eastAsia="仿宋"/>
          <w:sz w:val="24"/>
          <w:szCs w:val="24"/>
        </w:rPr>
        <w:t>后，将严格遵守贵公司现货清算业务规则，积极配合现货清算业务工作，认真履行现货清算</w:t>
      </w:r>
      <w:r>
        <w:rPr>
          <w:rFonts w:ascii="仿宋" w:hAnsi="仿宋" w:eastAsia="仿宋"/>
          <w:sz w:val="24"/>
          <w:szCs w:val="24"/>
        </w:rPr>
        <w:t>成员</w:t>
      </w:r>
      <w:r>
        <w:rPr>
          <w:rFonts w:hint="eastAsia" w:ascii="仿宋" w:hAnsi="仿宋" w:eastAsia="仿宋"/>
          <w:sz w:val="24"/>
          <w:szCs w:val="24"/>
        </w:rPr>
        <w:t>义务。有违反贵公司有关规定的，本机构将承担由此引起的一切后果及法律责任。</w:t>
      </w:r>
    </w:p>
    <w:p>
      <w:pPr>
        <w:spacing w:line="360" w:lineRule="auto"/>
        <w:ind w:firstLine="484" w:firstLineChars="202"/>
        <w:contextualSpacing/>
        <w:rPr>
          <w:rFonts w:ascii="仿宋" w:hAnsi="仿宋" w:eastAsia="仿宋"/>
          <w:sz w:val="24"/>
          <w:szCs w:val="24"/>
        </w:rPr>
      </w:pPr>
    </w:p>
    <w:p>
      <w:pPr>
        <w:spacing w:line="360" w:lineRule="auto"/>
        <w:ind w:firstLine="484" w:firstLineChars="202"/>
        <w:contextualSpacing/>
        <w:rPr>
          <w:rFonts w:ascii="仿宋" w:hAnsi="仿宋" w:eastAsia="仿宋"/>
          <w:sz w:val="24"/>
          <w:szCs w:val="24"/>
        </w:rPr>
      </w:pPr>
      <w:r>
        <w:rPr>
          <w:rFonts w:hint="eastAsia" w:ascii="仿宋" w:hAnsi="仿宋" w:eastAsia="仿宋"/>
          <w:sz w:val="24"/>
          <w:szCs w:val="24"/>
        </w:rPr>
        <w:t>附件：</w:t>
      </w:r>
    </w:p>
    <w:p>
      <w:pPr>
        <w:spacing w:line="360" w:lineRule="auto"/>
        <w:ind w:left="426"/>
        <w:contextualSpacing/>
        <w:rPr>
          <w:rFonts w:ascii="仿宋" w:hAnsi="仿宋" w:eastAsia="仿宋"/>
          <w:sz w:val="24"/>
          <w:szCs w:val="24"/>
        </w:rPr>
      </w:pPr>
      <w:r>
        <w:rPr>
          <w:rFonts w:hint="eastAsia" w:ascii="仿宋" w:hAnsi="仿宋" w:eastAsia="仿宋"/>
          <w:sz w:val="24"/>
          <w:szCs w:val="24"/>
        </w:rPr>
        <w:t>1</w:t>
      </w:r>
      <w:r>
        <w:rPr>
          <w:rFonts w:hAnsi="仿宋" w:cs="Times New Roman"/>
        </w:rPr>
        <w:t>．</w:t>
      </w:r>
      <w:r>
        <w:rPr>
          <w:rFonts w:hint="eastAsia" w:ascii="仿宋" w:hAnsi="仿宋" w:eastAsia="仿宋"/>
          <w:sz w:val="24"/>
          <w:szCs w:val="24"/>
        </w:rPr>
        <w:t>申请机构大宗商品现货清算业务风险管理制度</w:t>
      </w:r>
    </w:p>
    <w:p>
      <w:pPr>
        <w:spacing w:line="360" w:lineRule="auto"/>
        <w:ind w:left="426"/>
        <w:contextualSpacing/>
        <w:rPr>
          <w:rFonts w:ascii="仿宋" w:hAnsi="仿宋" w:eastAsia="仿宋"/>
          <w:sz w:val="24"/>
          <w:szCs w:val="24"/>
        </w:rPr>
      </w:pPr>
      <w:r>
        <w:rPr>
          <w:rFonts w:hint="eastAsia" w:ascii="仿宋" w:hAnsi="仿宋" w:eastAsia="仿宋"/>
          <w:sz w:val="24"/>
          <w:szCs w:val="24"/>
        </w:rPr>
        <w:t>2</w:t>
      </w:r>
      <w:r>
        <w:rPr>
          <w:rFonts w:hAnsi="仿宋" w:cs="Times New Roman"/>
        </w:rPr>
        <w:t>．</w:t>
      </w:r>
      <w:r>
        <w:rPr>
          <w:rFonts w:hint="eastAsia" w:ascii="仿宋" w:hAnsi="仿宋" w:eastAsia="仿宋"/>
          <w:sz w:val="24"/>
          <w:szCs w:val="24"/>
        </w:rPr>
        <w:t>申请机构大宗商品现货清算业务与交易商的协议范本</w:t>
      </w:r>
    </w:p>
    <w:p>
      <w:pPr>
        <w:widowControl/>
        <w:spacing w:before="100" w:beforeAutospacing="1" w:after="100" w:afterAutospacing="1" w:line="360" w:lineRule="auto"/>
        <w:ind w:firstLine="3120" w:firstLineChars="1300"/>
        <w:contextualSpacing/>
        <w:rPr>
          <w:rFonts w:ascii="Times New Roman" w:hAnsi="Times New Roman" w:eastAsia="仿宋"/>
          <w:sz w:val="24"/>
          <w:szCs w:val="24"/>
        </w:rPr>
      </w:pPr>
    </w:p>
    <w:p>
      <w:pPr>
        <w:widowControl/>
        <w:spacing w:before="100" w:beforeAutospacing="1" w:after="100" w:afterAutospacing="1" w:line="360" w:lineRule="auto"/>
        <w:ind w:left="2835" w:leftChars="1350" w:right="2635" w:rightChars="1255"/>
        <w:contextualSpacing/>
        <w:rPr>
          <w:rFonts w:ascii="Times New Roman" w:hAnsi="Times New Roman" w:eastAsia="仿宋"/>
          <w:sz w:val="24"/>
          <w:szCs w:val="24"/>
        </w:rPr>
      </w:pPr>
      <w:bookmarkStart w:id="39" w:name="OLE_LINK2"/>
      <w:bookmarkStart w:id="40" w:name="OLE_LINK1"/>
      <w:r>
        <w:rPr>
          <w:rFonts w:hint="eastAsia" w:ascii="Times New Roman" w:hAnsi="Times New Roman" w:eastAsia="仿宋"/>
          <w:sz w:val="24"/>
          <w:szCs w:val="24"/>
        </w:rPr>
        <w:t>法人代表或授权代表签章</w:t>
      </w:r>
      <w:bookmarkEnd w:id="39"/>
      <w:bookmarkEnd w:id="40"/>
      <w:r>
        <w:rPr>
          <w:rFonts w:hint="eastAsia" w:ascii="Times New Roman" w:hAnsi="Times New Roman" w:eastAsia="仿宋"/>
          <w:sz w:val="24"/>
          <w:szCs w:val="24"/>
        </w:rPr>
        <w:t>：</w:t>
      </w:r>
    </w:p>
    <w:p>
      <w:pPr>
        <w:widowControl/>
        <w:spacing w:before="100" w:beforeAutospacing="1" w:after="100" w:afterAutospacing="1" w:line="360" w:lineRule="auto"/>
        <w:ind w:left="2835" w:leftChars="1350" w:right="2635" w:rightChars="1255"/>
        <w:contextualSpacing/>
        <w:rPr>
          <w:rFonts w:ascii="Times New Roman" w:hAnsi="Times New Roman" w:eastAsia="仿宋"/>
          <w:sz w:val="24"/>
          <w:szCs w:val="24"/>
        </w:rPr>
      </w:pPr>
      <w:r>
        <w:rPr>
          <w:rFonts w:hint="eastAsia" w:ascii="Times New Roman" w:hAnsi="Times New Roman" w:eastAsia="仿宋"/>
          <w:sz w:val="24"/>
          <w:szCs w:val="24"/>
        </w:rPr>
        <w:t>单位公章：</w:t>
      </w:r>
    </w:p>
    <w:p>
      <w:pPr>
        <w:widowControl/>
        <w:spacing w:before="100" w:beforeAutospacing="1" w:after="100" w:afterAutospacing="1" w:line="360" w:lineRule="auto"/>
        <w:ind w:left="2835" w:leftChars="1350" w:right="2635" w:rightChars="1255"/>
        <w:contextualSpacing/>
        <w:rPr>
          <w:rFonts w:ascii="Times New Roman" w:hAnsi="Times New Roman" w:eastAsia="仿宋"/>
          <w:sz w:val="24"/>
          <w:szCs w:val="24"/>
        </w:rPr>
      </w:pPr>
      <w:r>
        <w:rPr>
          <w:rFonts w:hint="eastAsia" w:ascii="Times New Roman" w:hAnsi="Times New Roman" w:eastAsia="仿宋"/>
          <w:sz w:val="24"/>
          <w:szCs w:val="24"/>
        </w:rPr>
        <w:t>日期：</w:t>
      </w:r>
    </w:p>
    <w:p>
      <w:pPr>
        <w:ind w:left="2835" w:leftChars="1350"/>
        <w:rPr>
          <w:rFonts w:ascii="Times New Roman" w:hAnsi="Times New Roman" w:eastAsia="仿宋"/>
          <w:sz w:val="24"/>
          <w:szCs w:val="24"/>
        </w:rPr>
        <w:sectPr>
          <w:pgSz w:w="11906" w:h="16838"/>
          <w:pgMar w:top="1440" w:right="1800" w:bottom="1440" w:left="1800" w:header="851" w:footer="992" w:gutter="0"/>
          <w:cols w:space="425" w:num="1"/>
          <w:docGrid w:type="lines" w:linePitch="312" w:charSpace="0"/>
        </w:sectPr>
      </w:pPr>
    </w:p>
    <w:p>
      <w:pPr>
        <w:widowControl/>
        <w:spacing w:line="580" w:lineRule="exact"/>
        <w:jc w:val="left"/>
        <w:rPr>
          <w:rFonts w:ascii="黑体" w:hAnsi="宋体" w:eastAsia="黑体"/>
          <w:sz w:val="32"/>
          <w:szCs w:val="32"/>
          <w:lang w:bidi="ar"/>
        </w:rPr>
      </w:pPr>
      <w:r>
        <w:rPr>
          <w:rFonts w:hint="eastAsia" w:ascii="黑体" w:hAnsi="宋体" w:eastAsia="黑体"/>
          <w:sz w:val="32"/>
          <w:szCs w:val="32"/>
          <w:lang w:bidi="ar"/>
        </w:rPr>
        <w:t>附</w:t>
      </w:r>
      <w:r>
        <w:rPr>
          <w:rFonts w:ascii="黑体" w:hAnsi="宋体" w:eastAsia="黑体"/>
          <w:sz w:val="32"/>
          <w:szCs w:val="32"/>
          <w:lang w:bidi="ar"/>
        </w:rPr>
        <w:t>10</w:t>
      </w:r>
    </w:p>
    <w:p>
      <w:pPr>
        <w:spacing w:line="360" w:lineRule="auto"/>
        <w:jc w:val="center"/>
        <w:rPr>
          <w:rFonts w:ascii="宋体" w:hAnsi="宋体" w:cs="宋体"/>
          <w:b/>
          <w:sz w:val="44"/>
          <w:szCs w:val="44"/>
          <w:lang w:bidi="ar"/>
        </w:rPr>
      </w:pPr>
      <w:r>
        <w:rPr>
          <w:rFonts w:hint="eastAsia" w:ascii="宋体" w:hAnsi="宋体" w:cs="宋体"/>
          <w:b/>
          <w:sz w:val="44"/>
          <w:szCs w:val="44"/>
          <w:lang w:bidi="ar"/>
        </w:rPr>
        <w:t>银行间市场清算所股份有限公司</w:t>
      </w:r>
    </w:p>
    <w:p>
      <w:pPr>
        <w:spacing w:line="360" w:lineRule="auto"/>
        <w:jc w:val="center"/>
        <w:rPr>
          <w:rFonts w:ascii="宋体" w:hAnsi="宋体" w:cs="宋体"/>
          <w:b/>
          <w:sz w:val="44"/>
          <w:szCs w:val="44"/>
          <w:lang w:bidi="ar"/>
        </w:rPr>
      </w:pPr>
      <w:r>
        <w:rPr>
          <w:rFonts w:hint="eastAsia" w:ascii="宋体" w:hAnsi="宋体" w:cs="宋体"/>
          <w:b/>
          <w:sz w:val="44"/>
          <w:szCs w:val="44"/>
          <w:lang w:bidi="ar"/>
        </w:rPr>
        <w:t>大宗商品现货清算业务</w:t>
      </w:r>
    </w:p>
    <w:p>
      <w:pPr>
        <w:spacing w:line="360" w:lineRule="auto"/>
        <w:jc w:val="center"/>
        <w:rPr>
          <w:rFonts w:ascii="宋体" w:hAnsi="宋体" w:cs="宋体"/>
          <w:b/>
          <w:sz w:val="44"/>
          <w:szCs w:val="44"/>
          <w:lang w:bidi="ar"/>
        </w:rPr>
      </w:pPr>
      <w:r>
        <w:rPr>
          <w:rFonts w:hint="eastAsia" w:ascii="宋体" w:hAnsi="宋体" w:cs="宋体"/>
          <w:b/>
          <w:sz w:val="44"/>
          <w:szCs w:val="44"/>
          <w:lang w:bidi="ar"/>
        </w:rPr>
        <w:t>现货</w:t>
      </w:r>
      <w:r>
        <w:rPr>
          <w:rFonts w:ascii="宋体" w:hAnsi="宋体" w:cs="宋体"/>
          <w:b/>
          <w:sz w:val="44"/>
          <w:szCs w:val="44"/>
          <w:lang w:bidi="ar"/>
        </w:rPr>
        <w:t>清算</w:t>
      </w:r>
      <w:r>
        <w:rPr>
          <w:rFonts w:hint="eastAsia" w:ascii="宋体" w:hAnsi="宋体" w:cs="宋体"/>
          <w:b/>
          <w:sz w:val="44"/>
          <w:szCs w:val="44"/>
          <w:lang w:bidi="ar"/>
        </w:rPr>
        <w:t>成员</w:t>
      </w:r>
      <w:r>
        <w:rPr>
          <w:rFonts w:ascii="宋体" w:hAnsi="宋体" w:cs="宋体"/>
          <w:b/>
          <w:sz w:val="44"/>
          <w:szCs w:val="44"/>
          <w:lang w:bidi="ar"/>
        </w:rPr>
        <w:t>登记表</w:t>
      </w:r>
    </w:p>
    <w:tbl>
      <w:tblPr>
        <w:tblStyle w:val="21"/>
        <w:tblW w:w="8647" w:type="dxa"/>
        <w:tblInd w:w="-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296"/>
        <w:gridCol w:w="631"/>
        <w:gridCol w:w="159"/>
        <w:gridCol w:w="179"/>
        <w:gridCol w:w="165"/>
        <w:gridCol w:w="1275"/>
        <w:gridCol w:w="554"/>
        <w:gridCol w:w="59"/>
        <w:gridCol w:w="379"/>
        <w:gridCol w:w="567"/>
        <w:gridCol w:w="1275"/>
        <w:gridCol w:w="11"/>
        <w:gridCol w:w="41"/>
        <w:gridCol w:w="373"/>
        <w:gridCol w:w="168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atLeast"/>
        </w:trPr>
        <w:tc>
          <w:tcPr>
            <w:tcW w:w="8647" w:type="dxa"/>
            <w:gridSpan w:val="15"/>
            <w:shd w:val="clear" w:color="auto" w:fill="auto"/>
            <w:vAlign w:val="center"/>
          </w:tcPr>
          <w:p>
            <w:pPr>
              <w:pStyle w:val="36"/>
              <w:ind w:firstLine="422"/>
              <w:jc w:val="center"/>
              <w:rPr>
                <w:rFonts w:ascii="Times New Roman" w:hAnsi="Times New Roman" w:cs="Times New Roman"/>
                <w:b/>
                <w:color w:val="auto"/>
                <w:sz w:val="21"/>
                <w:szCs w:val="21"/>
              </w:rPr>
            </w:pPr>
            <w:r>
              <w:rPr>
                <w:rFonts w:hint="eastAsia" w:ascii="Times New Roman" w:hAnsi="Times New Roman" w:cs="Times New Roman"/>
                <w:b/>
                <w:color w:val="auto"/>
                <w:sz w:val="21"/>
                <w:szCs w:val="21"/>
              </w:rPr>
              <w:t>申请机构基本信息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29" w:hRule="atLeast"/>
        </w:trPr>
        <w:tc>
          <w:tcPr>
            <w:tcW w:w="2265" w:type="dxa"/>
            <w:gridSpan w:val="4"/>
            <w:shd w:val="clear" w:color="auto" w:fill="auto"/>
            <w:vAlign w:val="center"/>
          </w:tcPr>
          <w:p>
            <w:pPr>
              <w:pStyle w:val="36"/>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中文全称</w:t>
            </w:r>
          </w:p>
        </w:tc>
        <w:tc>
          <w:tcPr>
            <w:tcW w:w="2999" w:type="dxa"/>
            <w:gridSpan w:val="6"/>
            <w:shd w:val="clear" w:color="auto" w:fill="auto"/>
            <w:vAlign w:val="center"/>
          </w:tcPr>
          <w:p>
            <w:pPr>
              <w:pStyle w:val="36"/>
              <w:ind w:firstLine="420"/>
              <w:jc w:val="center"/>
              <w:rPr>
                <w:rFonts w:ascii="Times New Roman" w:hAnsi="Times New Roman" w:cs="Times New Roman"/>
                <w:color w:val="auto"/>
                <w:sz w:val="21"/>
                <w:szCs w:val="21"/>
              </w:rPr>
            </w:pPr>
          </w:p>
        </w:tc>
        <w:tc>
          <w:tcPr>
            <w:tcW w:w="1700" w:type="dxa"/>
            <w:gridSpan w:val="4"/>
            <w:shd w:val="clear" w:color="auto" w:fill="auto"/>
            <w:vAlign w:val="center"/>
          </w:tcPr>
          <w:p>
            <w:pPr>
              <w:pStyle w:val="36"/>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中文简称</w:t>
            </w:r>
          </w:p>
        </w:tc>
        <w:tc>
          <w:tcPr>
            <w:tcW w:w="1683" w:type="dxa"/>
            <w:shd w:val="clear" w:color="auto" w:fill="auto"/>
            <w:vAlign w:val="center"/>
          </w:tcPr>
          <w:p>
            <w:pPr>
              <w:pStyle w:val="36"/>
              <w:ind w:firstLine="420"/>
              <w:jc w:val="center"/>
              <w:rPr>
                <w:rFonts w:ascii="Times New Roman" w:hAnsi="Times New Roman" w:cs="Times New Roman"/>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0" w:hRule="atLeast"/>
        </w:trPr>
        <w:tc>
          <w:tcPr>
            <w:tcW w:w="2265" w:type="dxa"/>
            <w:gridSpan w:val="4"/>
            <w:shd w:val="clear" w:color="auto" w:fill="auto"/>
            <w:vAlign w:val="center"/>
          </w:tcPr>
          <w:p>
            <w:pPr>
              <w:pStyle w:val="36"/>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英文全称</w:t>
            </w:r>
          </w:p>
        </w:tc>
        <w:tc>
          <w:tcPr>
            <w:tcW w:w="2999" w:type="dxa"/>
            <w:gridSpan w:val="6"/>
            <w:shd w:val="clear" w:color="auto" w:fill="auto"/>
            <w:vAlign w:val="center"/>
          </w:tcPr>
          <w:p>
            <w:pPr>
              <w:pStyle w:val="36"/>
              <w:ind w:firstLine="420"/>
              <w:jc w:val="center"/>
              <w:rPr>
                <w:rFonts w:ascii="Times New Roman" w:hAnsi="Times New Roman" w:cs="Times New Roman"/>
                <w:color w:val="auto"/>
                <w:sz w:val="21"/>
                <w:szCs w:val="21"/>
              </w:rPr>
            </w:pPr>
          </w:p>
        </w:tc>
        <w:tc>
          <w:tcPr>
            <w:tcW w:w="1700" w:type="dxa"/>
            <w:gridSpan w:val="4"/>
            <w:shd w:val="clear" w:color="auto" w:fill="auto"/>
            <w:vAlign w:val="center"/>
          </w:tcPr>
          <w:p>
            <w:pPr>
              <w:pStyle w:val="36"/>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英文简称</w:t>
            </w:r>
          </w:p>
        </w:tc>
        <w:tc>
          <w:tcPr>
            <w:tcW w:w="1683" w:type="dxa"/>
            <w:shd w:val="clear" w:color="auto" w:fill="auto"/>
            <w:vAlign w:val="center"/>
          </w:tcPr>
          <w:p>
            <w:pPr>
              <w:pStyle w:val="36"/>
              <w:ind w:firstLine="420"/>
              <w:jc w:val="center"/>
              <w:rPr>
                <w:rFonts w:ascii="Times New Roman" w:hAnsi="Times New Roman" w:cs="Times New Roman"/>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25" w:hRule="atLeast"/>
        </w:trPr>
        <w:tc>
          <w:tcPr>
            <w:tcW w:w="2265" w:type="dxa"/>
            <w:gridSpan w:val="4"/>
            <w:shd w:val="clear" w:color="auto" w:fill="auto"/>
            <w:vAlign w:val="center"/>
          </w:tcPr>
          <w:p>
            <w:pPr>
              <w:pStyle w:val="36"/>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注册地址</w:t>
            </w:r>
          </w:p>
        </w:tc>
        <w:tc>
          <w:tcPr>
            <w:tcW w:w="6382" w:type="dxa"/>
            <w:gridSpan w:val="11"/>
            <w:shd w:val="clear" w:color="auto" w:fill="auto"/>
            <w:vAlign w:val="center"/>
          </w:tcPr>
          <w:p>
            <w:pPr>
              <w:pStyle w:val="36"/>
              <w:ind w:firstLine="420"/>
              <w:jc w:val="center"/>
              <w:rPr>
                <w:rFonts w:ascii="Times New Roman" w:hAnsi="Times New Roman" w:cs="Times New Roman"/>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7" w:hRule="atLeast"/>
        </w:trPr>
        <w:tc>
          <w:tcPr>
            <w:tcW w:w="2265" w:type="dxa"/>
            <w:gridSpan w:val="4"/>
            <w:shd w:val="clear" w:color="auto" w:fill="auto"/>
            <w:vAlign w:val="center"/>
          </w:tcPr>
          <w:p>
            <w:pPr>
              <w:pStyle w:val="36"/>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注册资本（万元）</w:t>
            </w:r>
          </w:p>
        </w:tc>
        <w:tc>
          <w:tcPr>
            <w:tcW w:w="2432" w:type="dxa"/>
            <w:gridSpan w:val="5"/>
            <w:shd w:val="clear" w:color="auto" w:fill="auto"/>
            <w:vAlign w:val="center"/>
          </w:tcPr>
          <w:p>
            <w:pPr>
              <w:pStyle w:val="36"/>
              <w:ind w:firstLine="420"/>
              <w:jc w:val="center"/>
              <w:rPr>
                <w:rFonts w:ascii="Times New Roman" w:hAnsi="Times New Roman" w:cs="Times New Roman"/>
                <w:color w:val="auto"/>
                <w:sz w:val="21"/>
                <w:szCs w:val="21"/>
              </w:rPr>
            </w:pPr>
          </w:p>
        </w:tc>
        <w:tc>
          <w:tcPr>
            <w:tcW w:w="2267" w:type="dxa"/>
            <w:gridSpan w:val="5"/>
            <w:shd w:val="clear" w:color="auto" w:fill="auto"/>
            <w:vAlign w:val="center"/>
          </w:tcPr>
          <w:p>
            <w:pPr>
              <w:pStyle w:val="36"/>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统一社会信用代码</w:t>
            </w:r>
          </w:p>
        </w:tc>
        <w:tc>
          <w:tcPr>
            <w:tcW w:w="1683" w:type="dxa"/>
            <w:shd w:val="clear" w:color="auto" w:fill="auto"/>
            <w:vAlign w:val="center"/>
          </w:tcPr>
          <w:p>
            <w:pPr>
              <w:pStyle w:val="36"/>
              <w:ind w:firstLine="420"/>
              <w:jc w:val="center"/>
              <w:rPr>
                <w:rFonts w:ascii="Times New Roman" w:hAnsi="Times New Roman" w:cs="Times New Roman"/>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78" w:hRule="atLeast"/>
        </w:trPr>
        <w:tc>
          <w:tcPr>
            <w:tcW w:w="2265" w:type="dxa"/>
            <w:gridSpan w:val="4"/>
            <w:shd w:val="clear" w:color="auto" w:fill="auto"/>
            <w:vAlign w:val="center"/>
          </w:tcPr>
          <w:p>
            <w:pPr>
              <w:pStyle w:val="36"/>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联系人</w:t>
            </w:r>
          </w:p>
        </w:tc>
        <w:tc>
          <w:tcPr>
            <w:tcW w:w="2432" w:type="dxa"/>
            <w:gridSpan w:val="5"/>
            <w:shd w:val="clear" w:color="auto" w:fill="auto"/>
            <w:vAlign w:val="center"/>
          </w:tcPr>
          <w:p>
            <w:pPr>
              <w:pStyle w:val="36"/>
              <w:ind w:firstLine="420"/>
              <w:jc w:val="center"/>
              <w:rPr>
                <w:rFonts w:ascii="Times New Roman" w:hAnsi="Times New Roman" w:cs="Times New Roman"/>
                <w:color w:val="auto"/>
                <w:sz w:val="21"/>
                <w:szCs w:val="21"/>
              </w:rPr>
            </w:pPr>
          </w:p>
        </w:tc>
        <w:tc>
          <w:tcPr>
            <w:tcW w:w="2267" w:type="dxa"/>
            <w:gridSpan w:val="5"/>
            <w:shd w:val="clear" w:color="auto" w:fill="auto"/>
            <w:vAlign w:val="center"/>
          </w:tcPr>
          <w:p>
            <w:pPr>
              <w:pStyle w:val="36"/>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联系电话</w:t>
            </w:r>
          </w:p>
        </w:tc>
        <w:tc>
          <w:tcPr>
            <w:tcW w:w="1683" w:type="dxa"/>
            <w:shd w:val="clear" w:color="auto" w:fill="auto"/>
            <w:vAlign w:val="center"/>
          </w:tcPr>
          <w:p>
            <w:pPr>
              <w:pStyle w:val="36"/>
              <w:ind w:firstLine="420"/>
              <w:jc w:val="center"/>
              <w:rPr>
                <w:rFonts w:ascii="Times New Roman" w:hAnsi="Times New Roman" w:cs="Times New Roman"/>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39" w:hRule="atLeast"/>
        </w:trPr>
        <w:tc>
          <w:tcPr>
            <w:tcW w:w="2265" w:type="dxa"/>
            <w:gridSpan w:val="4"/>
            <w:shd w:val="clear" w:color="auto" w:fill="auto"/>
            <w:vAlign w:val="center"/>
          </w:tcPr>
          <w:p>
            <w:pPr>
              <w:pStyle w:val="36"/>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传真</w:t>
            </w:r>
          </w:p>
        </w:tc>
        <w:tc>
          <w:tcPr>
            <w:tcW w:w="2432" w:type="dxa"/>
            <w:gridSpan w:val="5"/>
            <w:shd w:val="clear" w:color="auto" w:fill="auto"/>
            <w:vAlign w:val="center"/>
          </w:tcPr>
          <w:p>
            <w:pPr>
              <w:pStyle w:val="36"/>
              <w:ind w:firstLine="420"/>
              <w:jc w:val="center"/>
              <w:rPr>
                <w:rFonts w:ascii="Times New Roman" w:hAnsi="Times New Roman" w:cs="Times New Roman"/>
                <w:color w:val="auto"/>
                <w:sz w:val="21"/>
                <w:szCs w:val="21"/>
              </w:rPr>
            </w:pPr>
          </w:p>
        </w:tc>
        <w:tc>
          <w:tcPr>
            <w:tcW w:w="2267" w:type="dxa"/>
            <w:gridSpan w:val="5"/>
            <w:shd w:val="clear" w:color="auto" w:fill="auto"/>
            <w:vAlign w:val="center"/>
          </w:tcPr>
          <w:p>
            <w:pPr>
              <w:pStyle w:val="36"/>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电子邮件地址</w:t>
            </w:r>
          </w:p>
        </w:tc>
        <w:tc>
          <w:tcPr>
            <w:tcW w:w="1683" w:type="dxa"/>
            <w:shd w:val="clear" w:color="auto" w:fill="auto"/>
            <w:vAlign w:val="center"/>
          </w:tcPr>
          <w:p>
            <w:pPr>
              <w:pStyle w:val="36"/>
              <w:ind w:firstLine="420"/>
              <w:jc w:val="center"/>
              <w:rPr>
                <w:rFonts w:ascii="Times New Roman" w:hAnsi="Times New Roman" w:cs="Times New Roman"/>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4" w:hRule="atLeast"/>
        </w:trPr>
        <w:tc>
          <w:tcPr>
            <w:tcW w:w="2265" w:type="dxa"/>
            <w:gridSpan w:val="4"/>
            <w:shd w:val="clear" w:color="auto" w:fill="auto"/>
            <w:vAlign w:val="center"/>
          </w:tcPr>
          <w:p>
            <w:pPr>
              <w:pStyle w:val="36"/>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通讯地址</w:t>
            </w:r>
          </w:p>
        </w:tc>
        <w:tc>
          <w:tcPr>
            <w:tcW w:w="2432" w:type="dxa"/>
            <w:gridSpan w:val="5"/>
            <w:shd w:val="clear" w:color="auto" w:fill="auto"/>
            <w:vAlign w:val="center"/>
          </w:tcPr>
          <w:p>
            <w:pPr>
              <w:pStyle w:val="36"/>
              <w:ind w:firstLine="420"/>
              <w:jc w:val="center"/>
              <w:rPr>
                <w:rFonts w:ascii="Times New Roman" w:hAnsi="Times New Roman" w:cs="Times New Roman"/>
                <w:color w:val="auto"/>
                <w:sz w:val="21"/>
                <w:szCs w:val="21"/>
              </w:rPr>
            </w:pPr>
          </w:p>
        </w:tc>
        <w:tc>
          <w:tcPr>
            <w:tcW w:w="2267" w:type="dxa"/>
            <w:gridSpan w:val="5"/>
            <w:shd w:val="clear" w:color="auto" w:fill="auto"/>
            <w:vAlign w:val="center"/>
          </w:tcPr>
          <w:p>
            <w:pPr>
              <w:pStyle w:val="36"/>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邮政编码</w:t>
            </w:r>
          </w:p>
        </w:tc>
        <w:tc>
          <w:tcPr>
            <w:tcW w:w="1683" w:type="dxa"/>
            <w:shd w:val="clear" w:color="auto" w:fill="auto"/>
            <w:vAlign w:val="center"/>
          </w:tcPr>
          <w:p>
            <w:pPr>
              <w:pStyle w:val="36"/>
              <w:ind w:firstLine="420"/>
              <w:jc w:val="center"/>
              <w:rPr>
                <w:rFonts w:ascii="Times New Roman" w:hAnsi="Times New Roman" w:cs="Times New Roman"/>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atLeast"/>
        </w:trPr>
        <w:tc>
          <w:tcPr>
            <w:tcW w:w="8647" w:type="dxa"/>
            <w:gridSpan w:val="15"/>
            <w:shd w:val="clear" w:color="auto" w:fill="auto"/>
            <w:vAlign w:val="center"/>
          </w:tcPr>
          <w:p>
            <w:pPr>
              <w:pStyle w:val="36"/>
              <w:ind w:firstLine="420"/>
              <w:jc w:val="center"/>
              <w:rPr>
                <w:rFonts w:ascii="Times New Roman" w:hAnsi="Times New Roman" w:cs="Times New Roman"/>
                <w:color w:val="auto"/>
                <w:sz w:val="21"/>
                <w:szCs w:val="21"/>
              </w:rPr>
            </w:pPr>
            <w:r>
              <w:rPr>
                <w:rFonts w:hint="eastAsia" w:ascii="Times New Roman" w:hAnsi="Times New Roman" w:cs="Times New Roman"/>
                <w:b/>
                <w:color w:val="auto"/>
                <w:sz w:val="21"/>
                <w:szCs w:val="21"/>
              </w:rPr>
              <w:t>申请机构人员信息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9" w:hRule="atLeast"/>
        </w:trPr>
        <w:tc>
          <w:tcPr>
            <w:tcW w:w="1296" w:type="dxa"/>
            <w:shd w:val="clear" w:color="auto" w:fill="auto"/>
            <w:vAlign w:val="center"/>
          </w:tcPr>
          <w:p>
            <w:pPr>
              <w:pStyle w:val="36"/>
              <w:tabs>
                <w:tab w:val="center" w:pos="4153"/>
                <w:tab w:val="right" w:pos="8306"/>
              </w:tabs>
              <w:snapToGrid w:val="0"/>
              <w:jc w:val="center"/>
              <w:rPr>
                <w:rFonts w:hAnsi="仿宋" w:cs="Times New Roman"/>
                <w:color w:val="auto"/>
                <w:sz w:val="21"/>
                <w:szCs w:val="21"/>
              </w:rPr>
            </w:pPr>
            <w:r>
              <w:rPr>
                <w:rFonts w:hint="eastAsia" w:hAnsi="仿宋" w:cs="Times New Roman"/>
                <w:sz w:val="21"/>
                <w:szCs w:val="21"/>
              </w:rPr>
              <w:t>联系人</w:t>
            </w:r>
          </w:p>
        </w:tc>
        <w:tc>
          <w:tcPr>
            <w:tcW w:w="1134" w:type="dxa"/>
            <w:gridSpan w:val="4"/>
            <w:shd w:val="clear" w:color="auto" w:fill="auto"/>
            <w:vAlign w:val="center"/>
          </w:tcPr>
          <w:p>
            <w:pPr>
              <w:pStyle w:val="36"/>
              <w:tabs>
                <w:tab w:val="center" w:pos="4153"/>
                <w:tab w:val="right" w:pos="8306"/>
              </w:tabs>
              <w:snapToGrid w:val="0"/>
              <w:jc w:val="center"/>
              <w:rPr>
                <w:rFonts w:hAnsi="仿宋" w:cs="Times New Roman"/>
                <w:color w:val="auto"/>
                <w:sz w:val="21"/>
                <w:szCs w:val="21"/>
              </w:rPr>
            </w:pPr>
            <w:r>
              <w:rPr>
                <w:rFonts w:hint="eastAsia" w:hAnsi="仿宋" w:cs="Times New Roman"/>
                <w:sz w:val="21"/>
                <w:szCs w:val="21"/>
              </w:rPr>
              <w:t>姓名</w:t>
            </w:r>
          </w:p>
        </w:tc>
        <w:tc>
          <w:tcPr>
            <w:tcW w:w="1275" w:type="dxa"/>
            <w:shd w:val="clear" w:color="auto" w:fill="auto"/>
            <w:vAlign w:val="center"/>
          </w:tcPr>
          <w:p>
            <w:pPr>
              <w:pStyle w:val="36"/>
              <w:tabs>
                <w:tab w:val="center" w:pos="4153"/>
                <w:tab w:val="right" w:pos="8306"/>
              </w:tabs>
              <w:snapToGrid w:val="0"/>
              <w:jc w:val="center"/>
              <w:rPr>
                <w:rFonts w:hAnsi="仿宋" w:cs="Times New Roman"/>
                <w:color w:val="auto"/>
                <w:sz w:val="21"/>
                <w:szCs w:val="21"/>
              </w:rPr>
            </w:pPr>
            <w:r>
              <w:rPr>
                <w:rFonts w:hint="eastAsia" w:hAnsi="仿宋" w:cs="Times New Roman"/>
                <w:sz w:val="21"/>
                <w:szCs w:val="21"/>
              </w:rPr>
              <w:t>电话</w:t>
            </w:r>
          </w:p>
        </w:tc>
        <w:tc>
          <w:tcPr>
            <w:tcW w:w="1559" w:type="dxa"/>
            <w:gridSpan w:val="4"/>
            <w:shd w:val="clear" w:color="auto" w:fill="auto"/>
            <w:vAlign w:val="center"/>
          </w:tcPr>
          <w:p>
            <w:pPr>
              <w:pStyle w:val="36"/>
              <w:tabs>
                <w:tab w:val="center" w:pos="4153"/>
                <w:tab w:val="right" w:pos="8306"/>
              </w:tabs>
              <w:snapToGrid w:val="0"/>
              <w:jc w:val="center"/>
              <w:rPr>
                <w:rFonts w:hAnsi="仿宋" w:cs="Times New Roman"/>
                <w:color w:val="auto"/>
                <w:sz w:val="21"/>
                <w:szCs w:val="21"/>
              </w:rPr>
            </w:pPr>
            <w:r>
              <w:rPr>
                <w:rFonts w:hint="eastAsia" w:hAnsi="仿宋" w:cs="Times New Roman"/>
                <w:sz w:val="21"/>
                <w:szCs w:val="21"/>
              </w:rPr>
              <w:t>手机</w:t>
            </w:r>
          </w:p>
        </w:tc>
        <w:tc>
          <w:tcPr>
            <w:tcW w:w="1275" w:type="dxa"/>
            <w:shd w:val="clear" w:color="auto" w:fill="auto"/>
            <w:vAlign w:val="center"/>
          </w:tcPr>
          <w:p>
            <w:pPr>
              <w:pStyle w:val="36"/>
              <w:tabs>
                <w:tab w:val="center" w:pos="4153"/>
                <w:tab w:val="right" w:pos="8306"/>
              </w:tabs>
              <w:snapToGrid w:val="0"/>
              <w:jc w:val="center"/>
              <w:rPr>
                <w:rFonts w:hAnsi="仿宋" w:cs="Times New Roman"/>
                <w:color w:val="auto"/>
                <w:sz w:val="21"/>
                <w:szCs w:val="21"/>
              </w:rPr>
            </w:pPr>
            <w:r>
              <w:rPr>
                <w:rFonts w:hint="eastAsia" w:hAnsi="仿宋" w:cs="Times New Roman"/>
                <w:sz w:val="21"/>
                <w:szCs w:val="21"/>
              </w:rPr>
              <w:t>传真</w:t>
            </w:r>
          </w:p>
        </w:tc>
        <w:tc>
          <w:tcPr>
            <w:tcW w:w="2108" w:type="dxa"/>
            <w:gridSpan w:val="4"/>
            <w:shd w:val="clear" w:color="auto" w:fill="auto"/>
            <w:vAlign w:val="center"/>
          </w:tcPr>
          <w:p>
            <w:pPr>
              <w:pStyle w:val="36"/>
              <w:tabs>
                <w:tab w:val="center" w:pos="4153"/>
                <w:tab w:val="right" w:pos="8306"/>
              </w:tabs>
              <w:snapToGrid w:val="0"/>
              <w:jc w:val="center"/>
              <w:rPr>
                <w:rFonts w:hAnsi="仿宋" w:cs="Times New Roman"/>
                <w:color w:val="auto"/>
                <w:sz w:val="21"/>
                <w:szCs w:val="21"/>
              </w:rPr>
            </w:pPr>
            <w:r>
              <w:rPr>
                <w:rFonts w:hAnsi="仿宋" w:cs="Times New Roman"/>
                <w:sz w:val="21"/>
                <w:szCs w:val="21"/>
              </w:rPr>
              <w:t>Email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57" w:hRule="atLeast"/>
        </w:trPr>
        <w:tc>
          <w:tcPr>
            <w:tcW w:w="1296" w:type="dxa"/>
            <w:shd w:val="clear" w:color="auto" w:fill="auto"/>
            <w:vAlign w:val="center"/>
          </w:tcPr>
          <w:p>
            <w:pPr>
              <w:pStyle w:val="36"/>
              <w:jc w:val="center"/>
              <w:rPr>
                <w:rFonts w:ascii="Times New Roman" w:hAnsi="Times New Roman" w:cs="Times New Roman"/>
                <w:color w:val="auto"/>
                <w:sz w:val="21"/>
                <w:szCs w:val="21"/>
              </w:rPr>
            </w:pPr>
            <w:r>
              <w:rPr>
                <w:rFonts w:hint="eastAsia" w:ascii="Times New Roman" w:hAnsi="Times New Roman" w:cs="Times New Roman"/>
                <w:sz w:val="21"/>
                <w:szCs w:val="21"/>
              </w:rPr>
              <w:t>法定代表人</w:t>
            </w:r>
          </w:p>
        </w:tc>
        <w:tc>
          <w:tcPr>
            <w:tcW w:w="1134" w:type="dxa"/>
            <w:gridSpan w:val="4"/>
            <w:shd w:val="clear" w:color="auto" w:fill="auto"/>
            <w:vAlign w:val="center"/>
          </w:tcPr>
          <w:p>
            <w:pPr>
              <w:pStyle w:val="36"/>
              <w:ind w:firstLine="420"/>
              <w:jc w:val="center"/>
              <w:rPr>
                <w:rFonts w:ascii="Times New Roman" w:hAnsi="Times New Roman" w:cs="Times New Roman"/>
                <w:color w:val="auto"/>
                <w:sz w:val="21"/>
                <w:szCs w:val="21"/>
              </w:rPr>
            </w:pPr>
          </w:p>
        </w:tc>
        <w:tc>
          <w:tcPr>
            <w:tcW w:w="1275" w:type="dxa"/>
            <w:shd w:val="clear" w:color="auto" w:fill="auto"/>
            <w:vAlign w:val="center"/>
          </w:tcPr>
          <w:p>
            <w:pPr>
              <w:pStyle w:val="36"/>
              <w:ind w:firstLine="420"/>
              <w:jc w:val="center"/>
              <w:rPr>
                <w:rFonts w:ascii="Times New Roman" w:hAnsi="Times New Roman" w:cs="Times New Roman"/>
                <w:color w:val="auto"/>
                <w:sz w:val="21"/>
                <w:szCs w:val="21"/>
              </w:rPr>
            </w:pPr>
          </w:p>
        </w:tc>
        <w:tc>
          <w:tcPr>
            <w:tcW w:w="1559" w:type="dxa"/>
            <w:gridSpan w:val="4"/>
            <w:shd w:val="clear" w:color="auto" w:fill="auto"/>
            <w:vAlign w:val="center"/>
          </w:tcPr>
          <w:p>
            <w:pPr>
              <w:pStyle w:val="36"/>
              <w:ind w:firstLine="420"/>
              <w:jc w:val="center"/>
              <w:rPr>
                <w:rFonts w:ascii="Times New Roman" w:hAnsi="Times New Roman" w:cs="Times New Roman"/>
                <w:color w:val="auto"/>
                <w:sz w:val="21"/>
                <w:szCs w:val="21"/>
              </w:rPr>
            </w:pPr>
          </w:p>
        </w:tc>
        <w:tc>
          <w:tcPr>
            <w:tcW w:w="1275" w:type="dxa"/>
            <w:shd w:val="clear" w:color="auto" w:fill="auto"/>
            <w:vAlign w:val="center"/>
          </w:tcPr>
          <w:p>
            <w:pPr>
              <w:pStyle w:val="36"/>
              <w:ind w:firstLine="420"/>
              <w:jc w:val="center"/>
              <w:rPr>
                <w:rFonts w:ascii="Times New Roman" w:hAnsi="Times New Roman" w:cs="Times New Roman"/>
                <w:color w:val="auto"/>
                <w:sz w:val="21"/>
                <w:szCs w:val="21"/>
              </w:rPr>
            </w:pPr>
          </w:p>
        </w:tc>
        <w:tc>
          <w:tcPr>
            <w:tcW w:w="2108" w:type="dxa"/>
            <w:gridSpan w:val="4"/>
            <w:shd w:val="clear" w:color="auto" w:fill="auto"/>
            <w:vAlign w:val="center"/>
          </w:tcPr>
          <w:p>
            <w:pPr>
              <w:pStyle w:val="36"/>
              <w:ind w:firstLine="420"/>
              <w:jc w:val="center"/>
              <w:rPr>
                <w:rFonts w:ascii="Times New Roman" w:hAnsi="Times New Roman" w:cs="Times New Roman"/>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7" w:hRule="atLeast"/>
        </w:trPr>
        <w:tc>
          <w:tcPr>
            <w:tcW w:w="1296" w:type="dxa"/>
            <w:vMerge w:val="restart"/>
            <w:shd w:val="clear" w:color="auto" w:fill="auto"/>
            <w:vAlign w:val="center"/>
          </w:tcPr>
          <w:p>
            <w:pPr>
              <w:pStyle w:val="36"/>
              <w:jc w:val="center"/>
              <w:rPr>
                <w:rFonts w:ascii="Times New Roman" w:hAnsi="Times New Roman" w:cs="Times New Roman"/>
                <w:sz w:val="21"/>
                <w:szCs w:val="21"/>
              </w:rPr>
            </w:pPr>
            <w:r>
              <w:rPr>
                <w:rFonts w:hint="eastAsia" w:ascii="Times New Roman" w:hAnsi="Times New Roman" w:cs="Times New Roman"/>
                <w:sz w:val="21"/>
                <w:szCs w:val="21"/>
              </w:rPr>
              <w:t>业务人员</w:t>
            </w:r>
          </w:p>
        </w:tc>
        <w:tc>
          <w:tcPr>
            <w:tcW w:w="1134" w:type="dxa"/>
            <w:gridSpan w:val="4"/>
            <w:shd w:val="clear" w:color="auto" w:fill="auto"/>
            <w:vAlign w:val="center"/>
          </w:tcPr>
          <w:p>
            <w:pPr>
              <w:pStyle w:val="36"/>
              <w:ind w:firstLine="420"/>
              <w:jc w:val="center"/>
              <w:rPr>
                <w:rFonts w:ascii="Times New Roman" w:hAnsi="Times New Roman" w:cs="Times New Roman"/>
                <w:color w:val="auto"/>
                <w:sz w:val="21"/>
                <w:szCs w:val="21"/>
              </w:rPr>
            </w:pPr>
          </w:p>
        </w:tc>
        <w:tc>
          <w:tcPr>
            <w:tcW w:w="1275" w:type="dxa"/>
            <w:shd w:val="clear" w:color="auto" w:fill="auto"/>
            <w:vAlign w:val="center"/>
          </w:tcPr>
          <w:p>
            <w:pPr>
              <w:pStyle w:val="36"/>
              <w:ind w:firstLine="420"/>
              <w:jc w:val="center"/>
              <w:rPr>
                <w:rFonts w:ascii="Times New Roman" w:hAnsi="Times New Roman" w:cs="Times New Roman"/>
                <w:color w:val="auto"/>
                <w:sz w:val="21"/>
                <w:szCs w:val="21"/>
              </w:rPr>
            </w:pPr>
          </w:p>
        </w:tc>
        <w:tc>
          <w:tcPr>
            <w:tcW w:w="1559" w:type="dxa"/>
            <w:gridSpan w:val="4"/>
            <w:shd w:val="clear" w:color="auto" w:fill="auto"/>
            <w:vAlign w:val="center"/>
          </w:tcPr>
          <w:p>
            <w:pPr>
              <w:pStyle w:val="36"/>
              <w:ind w:firstLine="420"/>
              <w:jc w:val="center"/>
              <w:rPr>
                <w:rFonts w:ascii="Times New Roman" w:hAnsi="Times New Roman" w:cs="Times New Roman"/>
                <w:color w:val="auto"/>
                <w:sz w:val="21"/>
                <w:szCs w:val="21"/>
              </w:rPr>
            </w:pPr>
          </w:p>
        </w:tc>
        <w:tc>
          <w:tcPr>
            <w:tcW w:w="1275" w:type="dxa"/>
            <w:shd w:val="clear" w:color="auto" w:fill="auto"/>
            <w:vAlign w:val="center"/>
          </w:tcPr>
          <w:p>
            <w:pPr>
              <w:pStyle w:val="36"/>
              <w:ind w:firstLine="420"/>
              <w:jc w:val="center"/>
              <w:rPr>
                <w:rFonts w:ascii="Times New Roman" w:hAnsi="Times New Roman" w:cs="Times New Roman"/>
                <w:color w:val="auto"/>
                <w:sz w:val="21"/>
                <w:szCs w:val="21"/>
              </w:rPr>
            </w:pPr>
          </w:p>
        </w:tc>
        <w:tc>
          <w:tcPr>
            <w:tcW w:w="2108" w:type="dxa"/>
            <w:gridSpan w:val="4"/>
            <w:shd w:val="clear" w:color="auto" w:fill="auto"/>
            <w:vAlign w:val="center"/>
          </w:tcPr>
          <w:p>
            <w:pPr>
              <w:pStyle w:val="36"/>
              <w:ind w:firstLine="420"/>
              <w:jc w:val="center"/>
              <w:rPr>
                <w:rFonts w:ascii="Times New Roman" w:hAnsi="Times New Roman" w:cs="Times New Roman"/>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4" w:hRule="atLeast"/>
        </w:trPr>
        <w:tc>
          <w:tcPr>
            <w:tcW w:w="1296" w:type="dxa"/>
            <w:vMerge w:val="continue"/>
            <w:shd w:val="clear" w:color="auto" w:fill="auto"/>
            <w:vAlign w:val="center"/>
          </w:tcPr>
          <w:p>
            <w:pPr>
              <w:pStyle w:val="36"/>
              <w:jc w:val="center"/>
              <w:rPr>
                <w:rFonts w:ascii="Times New Roman" w:hAnsi="Times New Roman" w:cs="Times New Roman"/>
                <w:sz w:val="21"/>
                <w:szCs w:val="21"/>
              </w:rPr>
            </w:pPr>
          </w:p>
        </w:tc>
        <w:tc>
          <w:tcPr>
            <w:tcW w:w="1134" w:type="dxa"/>
            <w:gridSpan w:val="4"/>
            <w:shd w:val="clear" w:color="auto" w:fill="auto"/>
            <w:vAlign w:val="center"/>
          </w:tcPr>
          <w:p>
            <w:pPr>
              <w:pStyle w:val="36"/>
              <w:ind w:firstLine="420"/>
              <w:jc w:val="center"/>
              <w:rPr>
                <w:rFonts w:ascii="Times New Roman" w:hAnsi="Times New Roman" w:cs="Times New Roman"/>
                <w:color w:val="auto"/>
                <w:sz w:val="21"/>
                <w:szCs w:val="21"/>
              </w:rPr>
            </w:pPr>
          </w:p>
        </w:tc>
        <w:tc>
          <w:tcPr>
            <w:tcW w:w="1275" w:type="dxa"/>
            <w:shd w:val="clear" w:color="auto" w:fill="auto"/>
            <w:vAlign w:val="center"/>
          </w:tcPr>
          <w:p>
            <w:pPr>
              <w:pStyle w:val="36"/>
              <w:ind w:firstLine="420"/>
              <w:jc w:val="center"/>
              <w:rPr>
                <w:rFonts w:ascii="Times New Roman" w:hAnsi="Times New Roman" w:cs="Times New Roman"/>
                <w:color w:val="auto"/>
                <w:sz w:val="21"/>
                <w:szCs w:val="21"/>
              </w:rPr>
            </w:pPr>
          </w:p>
        </w:tc>
        <w:tc>
          <w:tcPr>
            <w:tcW w:w="1559" w:type="dxa"/>
            <w:gridSpan w:val="4"/>
            <w:shd w:val="clear" w:color="auto" w:fill="auto"/>
            <w:vAlign w:val="center"/>
          </w:tcPr>
          <w:p>
            <w:pPr>
              <w:pStyle w:val="36"/>
              <w:ind w:firstLine="420"/>
              <w:jc w:val="center"/>
              <w:rPr>
                <w:rFonts w:ascii="Times New Roman" w:hAnsi="Times New Roman" w:cs="Times New Roman"/>
                <w:color w:val="auto"/>
                <w:sz w:val="21"/>
                <w:szCs w:val="21"/>
              </w:rPr>
            </w:pPr>
          </w:p>
        </w:tc>
        <w:tc>
          <w:tcPr>
            <w:tcW w:w="1275" w:type="dxa"/>
            <w:shd w:val="clear" w:color="auto" w:fill="auto"/>
            <w:vAlign w:val="center"/>
          </w:tcPr>
          <w:p>
            <w:pPr>
              <w:pStyle w:val="36"/>
              <w:ind w:firstLine="420"/>
              <w:jc w:val="center"/>
              <w:rPr>
                <w:rFonts w:ascii="Times New Roman" w:hAnsi="Times New Roman" w:cs="Times New Roman"/>
                <w:color w:val="auto"/>
                <w:sz w:val="21"/>
                <w:szCs w:val="21"/>
              </w:rPr>
            </w:pPr>
          </w:p>
        </w:tc>
        <w:tc>
          <w:tcPr>
            <w:tcW w:w="2108" w:type="dxa"/>
            <w:gridSpan w:val="4"/>
            <w:shd w:val="clear" w:color="auto" w:fill="auto"/>
            <w:vAlign w:val="center"/>
          </w:tcPr>
          <w:p>
            <w:pPr>
              <w:pStyle w:val="36"/>
              <w:ind w:firstLine="420"/>
              <w:jc w:val="center"/>
              <w:rPr>
                <w:rFonts w:ascii="Times New Roman" w:hAnsi="Times New Roman" w:cs="Times New Roman"/>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atLeast"/>
        </w:trPr>
        <w:tc>
          <w:tcPr>
            <w:tcW w:w="1296" w:type="dxa"/>
            <w:vMerge w:val="continue"/>
            <w:shd w:val="clear" w:color="auto" w:fill="auto"/>
            <w:vAlign w:val="center"/>
          </w:tcPr>
          <w:p>
            <w:pPr>
              <w:pStyle w:val="36"/>
              <w:jc w:val="center"/>
              <w:rPr>
                <w:rFonts w:ascii="Times New Roman" w:hAnsi="Times New Roman" w:cs="Times New Roman"/>
                <w:sz w:val="21"/>
                <w:szCs w:val="21"/>
              </w:rPr>
            </w:pPr>
          </w:p>
        </w:tc>
        <w:tc>
          <w:tcPr>
            <w:tcW w:w="1134" w:type="dxa"/>
            <w:gridSpan w:val="4"/>
            <w:shd w:val="clear" w:color="auto" w:fill="auto"/>
            <w:vAlign w:val="center"/>
          </w:tcPr>
          <w:p>
            <w:pPr>
              <w:pStyle w:val="36"/>
              <w:ind w:firstLine="420"/>
              <w:jc w:val="center"/>
              <w:rPr>
                <w:rFonts w:ascii="Times New Roman" w:hAnsi="Times New Roman" w:cs="Times New Roman"/>
                <w:color w:val="auto"/>
                <w:sz w:val="21"/>
                <w:szCs w:val="21"/>
              </w:rPr>
            </w:pPr>
          </w:p>
        </w:tc>
        <w:tc>
          <w:tcPr>
            <w:tcW w:w="1275" w:type="dxa"/>
            <w:shd w:val="clear" w:color="auto" w:fill="auto"/>
            <w:vAlign w:val="center"/>
          </w:tcPr>
          <w:p>
            <w:pPr>
              <w:pStyle w:val="36"/>
              <w:ind w:firstLine="420"/>
              <w:jc w:val="center"/>
              <w:rPr>
                <w:rFonts w:ascii="Times New Roman" w:hAnsi="Times New Roman" w:cs="Times New Roman"/>
                <w:color w:val="auto"/>
                <w:sz w:val="21"/>
                <w:szCs w:val="21"/>
              </w:rPr>
            </w:pPr>
          </w:p>
        </w:tc>
        <w:tc>
          <w:tcPr>
            <w:tcW w:w="1559" w:type="dxa"/>
            <w:gridSpan w:val="4"/>
            <w:shd w:val="clear" w:color="auto" w:fill="auto"/>
            <w:vAlign w:val="center"/>
          </w:tcPr>
          <w:p>
            <w:pPr>
              <w:pStyle w:val="36"/>
              <w:ind w:firstLine="420"/>
              <w:jc w:val="center"/>
              <w:rPr>
                <w:rFonts w:ascii="Times New Roman" w:hAnsi="Times New Roman" w:cs="Times New Roman"/>
                <w:color w:val="auto"/>
                <w:sz w:val="21"/>
                <w:szCs w:val="21"/>
              </w:rPr>
            </w:pPr>
          </w:p>
        </w:tc>
        <w:tc>
          <w:tcPr>
            <w:tcW w:w="1275" w:type="dxa"/>
            <w:shd w:val="clear" w:color="auto" w:fill="auto"/>
            <w:vAlign w:val="center"/>
          </w:tcPr>
          <w:p>
            <w:pPr>
              <w:pStyle w:val="36"/>
              <w:ind w:firstLine="420"/>
              <w:jc w:val="center"/>
              <w:rPr>
                <w:rFonts w:ascii="Times New Roman" w:hAnsi="Times New Roman" w:cs="Times New Roman"/>
                <w:color w:val="auto"/>
                <w:sz w:val="21"/>
                <w:szCs w:val="21"/>
              </w:rPr>
            </w:pPr>
          </w:p>
        </w:tc>
        <w:tc>
          <w:tcPr>
            <w:tcW w:w="2108" w:type="dxa"/>
            <w:gridSpan w:val="4"/>
            <w:shd w:val="clear" w:color="auto" w:fill="auto"/>
            <w:vAlign w:val="center"/>
          </w:tcPr>
          <w:p>
            <w:pPr>
              <w:pStyle w:val="36"/>
              <w:ind w:firstLine="420"/>
              <w:jc w:val="center"/>
              <w:rPr>
                <w:rFonts w:ascii="Times New Roman" w:hAnsi="Times New Roman" w:cs="Times New Roman"/>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atLeast"/>
        </w:trPr>
        <w:tc>
          <w:tcPr>
            <w:tcW w:w="8647" w:type="dxa"/>
            <w:gridSpan w:val="15"/>
            <w:shd w:val="clear" w:color="auto" w:fill="auto"/>
            <w:vAlign w:val="center"/>
          </w:tcPr>
          <w:p>
            <w:pPr>
              <w:pStyle w:val="36"/>
              <w:ind w:firstLine="420"/>
              <w:jc w:val="center"/>
              <w:rPr>
                <w:rFonts w:ascii="Times New Roman" w:hAnsi="Times New Roman" w:cs="Times New Roman"/>
                <w:color w:val="auto"/>
                <w:sz w:val="21"/>
                <w:szCs w:val="21"/>
              </w:rPr>
            </w:pPr>
            <w:r>
              <w:rPr>
                <w:rFonts w:hint="eastAsia" w:ascii="Times New Roman" w:hAnsi="Times New Roman" w:cs="Times New Roman"/>
                <w:b/>
                <w:color w:val="auto"/>
                <w:sz w:val="21"/>
                <w:szCs w:val="21"/>
              </w:rPr>
              <w:t>申请机构财务信息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87" w:hRule="atLeast"/>
        </w:trPr>
        <w:tc>
          <w:tcPr>
            <w:tcW w:w="2086" w:type="dxa"/>
            <w:gridSpan w:val="3"/>
            <w:shd w:val="clear" w:color="auto" w:fill="auto"/>
            <w:vAlign w:val="center"/>
          </w:tcPr>
          <w:p>
            <w:pPr>
              <w:pStyle w:val="36"/>
              <w:tabs>
                <w:tab w:val="center" w:pos="4153"/>
                <w:tab w:val="right" w:pos="8306"/>
              </w:tabs>
              <w:snapToGrid w:val="0"/>
              <w:jc w:val="center"/>
              <w:rPr>
                <w:rFonts w:hAnsi="仿宋" w:cs="Times New Roman"/>
                <w:b/>
                <w:color w:val="auto"/>
                <w:sz w:val="21"/>
                <w:szCs w:val="21"/>
              </w:rPr>
            </w:pPr>
            <w:r>
              <w:rPr>
                <w:rFonts w:hint="eastAsia" w:hAnsi="仿宋" w:cs="Times New Roman"/>
                <w:sz w:val="21"/>
                <w:szCs w:val="21"/>
              </w:rPr>
              <w:t>项目</w:t>
            </w:r>
          </w:p>
        </w:tc>
        <w:tc>
          <w:tcPr>
            <w:tcW w:w="2232" w:type="dxa"/>
            <w:gridSpan w:val="5"/>
            <w:shd w:val="clear" w:color="auto" w:fill="auto"/>
            <w:vAlign w:val="center"/>
          </w:tcPr>
          <w:p>
            <w:pPr>
              <w:pStyle w:val="36"/>
              <w:tabs>
                <w:tab w:val="center" w:pos="4153"/>
                <w:tab w:val="right" w:pos="8306"/>
              </w:tabs>
              <w:snapToGrid w:val="0"/>
              <w:ind w:firstLine="420"/>
              <w:jc w:val="center"/>
              <w:rPr>
                <w:rFonts w:hAnsi="仿宋" w:cs="Times New Roman"/>
                <w:b/>
                <w:color w:val="auto"/>
                <w:sz w:val="21"/>
                <w:szCs w:val="21"/>
              </w:rPr>
            </w:pPr>
            <w:r>
              <w:rPr>
                <w:rFonts w:hAnsi="仿宋" w:cs="Times New Roman"/>
                <w:sz w:val="21"/>
                <w:szCs w:val="21"/>
              </w:rPr>
              <w:t>Y</w:t>
            </w:r>
            <w:r>
              <w:rPr>
                <w:rFonts w:hint="eastAsia" w:hAnsi="仿宋" w:cs="Times New Roman"/>
                <w:sz w:val="21"/>
                <w:szCs w:val="21"/>
              </w:rPr>
              <w:t>年（末）</w:t>
            </w:r>
          </w:p>
        </w:tc>
        <w:tc>
          <w:tcPr>
            <w:tcW w:w="2232" w:type="dxa"/>
            <w:gridSpan w:val="4"/>
            <w:shd w:val="clear" w:color="auto" w:fill="auto"/>
            <w:vAlign w:val="center"/>
          </w:tcPr>
          <w:p>
            <w:pPr>
              <w:pStyle w:val="36"/>
              <w:tabs>
                <w:tab w:val="center" w:pos="4153"/>
                <w:tab w:val="right" w:pos="8306"/>
              </w:tabs>
              <w:snapToGrid w:val="0"/>
              <w:ind w:firstLine="420"/>
              <w:jc w:val="center"/>
              <w:rPr>
                <w:rFonts w:hAnsi="仿宋" w:cs="Times New Roman"/>
                <w:b/>
                <w:color w:val="auto"/>
                <w:sz w:val="21"/>
                <w:szCs w:val="21"/>
              </w:rPr>
            </w:pPr>
            <w:r>
              <w:rPr>
                <w:rFonts w:hAnsi="仿宋" w:cs="Times New Roman"/>
                <w:sz w:val="21"/>
                <w:szCs w:val="21"/>
              </w:rPr>
              <w:t>Y-1</w:t>
            </w:r>
            <w:r>
              <w:rPr>
                <w:rFonts w:hint="eastAsia" w:hAnsi="仿宋" w:cs="Times New Roman"/>
                <w:sz w:val="21"/>
                <w:szCs w:val="21"/>
              </w:rPr>
              <w:t>年（末）</w:t>
            </w:r>
          </w:p>
        </w:tc>
        <w:tc>
          <w:tcPr>
            <w:tcW w:w="2097" w:type="dxa"/>
            <w:gridSpan w:val="3"/>
            <w:shd w:val="clear" w:color="auto" w:fill="auto"/>
            <w:vAlign w:val="center"/>
          </w:tcPr>
          <w:p>
            <w:pPr>
              <w:pStyle w:val="36"/>
              <w:tabs>
                <w:tab w:val="center" w:pos="4153"/>
                <w:tab w:val="right" w:pos="8306"/>
              </w:tabs>
              <w:snapToGrid w:val="0"/>
              <w:ind w:firstLine="420"/>
              <w:jc w:val="center"/>
              <w:rPr>
                <w:rFonts w:hAnsi="仿宋" w:cs="Times New Roman"/>
                <w:b/>
                <w:color w:val="auto"/>
                <w:sz w:val="21"/>
                <w:szCs w:val="21"/>
              </w:rPr>
            </w:pPr>
            <w:r>
              <w:rPr>
                <w:rFonts w:hAnsi="仿宋" w:cs="Times New Roman"/>
                <w:sz w:val="21"/>
                <w:szCs w:val="21"/>
              </w:rPr>
              <w:t>Y-2</w:t>
            </w:r>
            <w:r>
              <w:rPr>
                <w:rFonts w:hint="eastAsia" w:hAnsi="仿宋" w:cs="Times New Roman"/>
                <w:sz w:val="21"/>
                <w:szCs w:val="21"/>
              </w:rPr>
              <w:t>年（末）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3" w:hRule="atLeast"/>
        </w:trPr>
        <w:tc>
          <w:tcPr>
            <w:tcW w:w="2086" w:type="dxa"/>
            <w:gridSpan w:val="3"/>
            <w:shd w:val="clear" w:color="auto" w:fill="auto"/>
            <w:vAlign w:val="center"/>
          </w:tcPr>
          <w:p>
            <w:pPr>
              <w:pStyle w:val="36"/>
              <w:jc w:val="center"/>
              <w:rPr>
                <w:rFonts w:ascii="Times New Roman" w:hAnsi="Times New Roman" w:cs="Times New Roman"/>
                <w:sz w:val="21"/>
                <w:szCs w:val="21"/>
              </w:rPr>
            </w:pPr>
            <w:r>
              <w:rPr>
                <w:rFonts w:hint="eastAsia" w:ascii="Times New Roman" w:hAnsi="Times New Roman" w:cs="Times New Roman"/>
                <w:sz w:val="21"/>
                <w:szCs w:val="21"/>
              </w:rPr>
              <w:t>净资产（亿元）</w:t>
            </w:r>
          </w:p>
        </w:tc>
        <w:tc>
          <w:tcPr>
            <w:tcW w:w="2232" w:type="dxa"/>
            <w:gridSpan w:val="5"/>
            <w:shd w:val="clear" w:color="auto" w:fill="auto"/>
            <w:vAlign w:val="center"/>
          </w:tcPr>
          <w:p>
            <w:pPr>
              <w:pStyle w:val="36"/>
              <w:ind w:firstLine="420"/>
              <w:jc w:val="center"/>
              <w:rPr>
                <w:rFonts w:ascii="Times New Roman" w:hAnsi="Times New Roman" w:cs="Times New Roman"/>
                <w:sz w:val="21"/>
                <w:szCs w:val="21"/>
              </w:rPr>
            </w:pPr>
          </w:p>
        </w:tc>
        <w:tc>
          <w:tcPr>
            <w:tcW w:w="2232" w:type="dxa"/>
            <w:gridSpan w:val="4"/>
            <w:shd w:val="clear" w:color="auto" w:fill="auto"/>
            <w:vAlign w:val="center"/>
          </w:tcPr>
          <w:p>
            <w:pPr>
              <w:pStyle w:val="36"/>
              <w:ind w:firstLine="420"/>
              <w:jc w:val="center"/>
              <w:rPr>
                <w:rFonts w:ascii="Times New Roman" w:hAnsi="Times New Roman" w:cs="Times New Roman"/>
                <w:sz w:val="21"/>
                <w:szCs w:val="21"/>
              </w:rPr>
            </w:pPr>
          </w:p>
        </w:tc>
        <w:tc>
          <w:tcPr>
            <w:tcW w:w="2097" w:type="dxa"/>
            <w:gridSpan w:val="3"/>
            <w:shd w:val="clear" w:color="auto" w:fill="auto"/>
            <w:vAlign w:val="center"/>
          </w:tcPr>
          <w:p>
            <w:pPr>
              <w:pStyle w:val="36"/>
              <w:ind w:firstLine="420"/>
              <w:jc w:val="center"/>
              <w:rPr>
                <w:rFonts w:ascii="Times New Roman" w:hAnsi="Times New Roman"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81" w:hRule="atLeast"/>
        </w:trPr>
        <w:tc>
          <w:tcPr>
            <w:tcW w:w="2086" w:type="dxa"/>
            <w:gridSpan w:val="3"/>
            <w:shd w:val="clear" w:color="auto" w:fill="auto"/>
            <w:vAlign w:val="center"/>
          </w:tcPr>
          <w:p>
            <w:pPr>
              <w:pStyle w:val="36"/>
              <w:jc w:val="center"/>
              <w:rPr>
                <w:rFonts w:ascii="Times New Roman" w:hAnsi="Times New Roman" w:cs="Times New Roman"/>
                <w:sz w:val="21"/>
                <w:szCs w:val="21"/>
              </w:rPr>
            </w:pPr>
            <w:r>
              <w:rPr>
                <w:rFonts w:hint="eastAsia" w:ascii="Times New Roman" w:hAnsi="Times New Roman" w:cs="Times New Roman"/>
                <w:sz w:val="21"/>
                <w:szCs w:val="21"/>
              </w:rPr>
              <w:t>营业收入（万元）</w:t>
            </w:r>
          </w:p>
        </w:tc>
        <w:tc>
          <w:tcPr>
            <w:tcW w:w="2232" w:type="dxa"/>
            <w:gridSpan w:val="5"/>
            <w:shd w:val="clear" w:color="auto" w:fill="auto"/>
            <w:vAlign w:val="center"/>
          </w:tcPr>
          <w:p>
            <w:pPr>
              <w:pStyle w:val="36"/>
              <w:ind w:firstLine="420"/>
              <w:jc w:val="center"/>
              <w:rPr>
                <w:rFonts w:ascii="Times New Roman" w:hAnsi="Times New Roman" w:cs="Times New Roman"/>
                <w:sz w:val="21"/>
                <w:szCs w:val="21"/>
              </w:rPr>
            </w:pPr>
          </w:p>
        </w:tc>
        <w:tc>
          <w:tcPr>
            <w:tcW w:w="2232" w:type="dxa"/>
            <w:gridSpan w:val="4"/>
            <w:shd w:val="clear" w:color="auto" w:fill="auto"/>
            <w:vAlign w:val="center"/>
          </w:tcPr>
          <w:p>
            <w:pPr>
              <w:pStyle w:val="36"/>
              <w:ind w:firstLine="420"/>
              <w:jc w:val="center"/>
              <w:rPr>
                <w:rFonts w:ascii="Times New Roman" w:hAnsi="Times New Roman" w:cs="Times New Roman"/>
                <w:sz w:val="21"/>
                <w:szCs w:val="21"/>
              </w:rPr>
            </w:pPr>
          </w:p>
        </w:tc>
        <w:tc>
          <w:tcPr>
            <w:tcW w:w="2097" w:type="dxa"/>
            <w:gridSpan w:val="3"/>
            <w:shd w:val="clear" w:color="auto" w:fill="auto"/>
            <w:vAlign w:val="center"/>
          </w:tcPr>
          <w:p>
            <w:pPr>
              <w:pStyle w:val="36"/>
              <w:ind w:firstLine="420"/>
              <w:jc w:val="center"/>
              <w:rPr>
                <w:rFonts w:ascii="Times New Roman" w:hAnsi="Times New Roman"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atLeast"/>
        </w:trPr>
        <w:tc>
          <w:tcPr>
            <w:tcW w:w="2086" w:type="dxa"/>
            <w:gridSpan w:val="3"/>
            <w:shd w:val="clear" w:color="auto" w:fill="auto"/>
            <w:vAlign w:val="center"/>
          </w:tcPr>
          <w:p>
            <w:pPr>
              <w:pStyle w:val="36"/>
              <w:jc w:val="center"/>
              <w:rPr>
                <w:rFonts w:ascii="Times New Roman" w:hAnsi="Times New Roman" w:cs="Times New Roman"/>
                <w:sz w:val="21"/>
                <w:szCs w:val="21"/>
              </w:rPr>
            </w:pPr>
            <w:r>
              <w:rPr>
                <w:rFonts w:hint="eastAsia" w:ascii="Times New Roman" w:hAnsi="Times New Roman" w:cs="Times New Roman"/>
                <w:sz w:val="21"/>
                <w:szCs w:val="21"/>
              </w:rPr>
              <w:t>净利润（万元）</w:t>
            </w:r>
          </w:p>
        </w:tc>
        <w:tc>
          <w:tcPr>
            <w:tcW w:w="2232" w:type="dxa"/>
            <w:gridSpan w:val="5"/>
            <w:shd w:val="clear" w:color="auto" w:fill="auto"/>
            <w:vAlign w:val="center"/>
          </w:tcPr>
          <w:p>
            <w:pPr>
              <w:pStyle w:val="36"/>
              <w:ind w:firstLine="420"/>
              <w:jc w:val="center"/>
              <w:rPr>
                <w:rFonts w:ascii="Times New Roman" w:hAnsi="Times New Roman" w:cs="Times New Roman"/>
                <w:sz w:val="21"/>
                <w:szCs w:val="21"/>
              </w:rPr>
            </w:pPr>
          </w:p>
        </w:tc>
        <w:tc>
          <w:tcPr>
            <w:tcW w:w="2232" w:type="dxa"/>
            <w:gridSpan w:val="4"/>
            <w:shd w:val="clear" w:color="auto" w:fill="auto"/>
            <w:vAlign w:val="center"/>
          </w:tcPr>
          <w:p>
            <w:pPr>
              <w:pStyle w:val="36"/>
              <w:ind w:firstLine="420"/>
              <w:jc w:val="center"/>
              <w:rPr>
                <w:rFonts w:ascii="Times New Roman" w:hAnsi="Times New Roman" w:cs="Times New Roman"/>
                <w:sz w:val="21"/>
                <w:szCs w:val="21"/>
              </w:rPr>
            </w:pPr>
          </w:p>
        </w:tc>
        <w:tc>
          <w:tcPr>
            <w:tcW w:w="2097" w:type="dxa"/>
            <w:gridSpan w:val="3"/>
            <w:shd w:val="clear" w:color="auto" w:fill="auto"/>
            <w:vAlign w:val="center"/>
          </w:tcPr>
          <w:p>
            <w:pPr>
              <w:pStyle w:val="36"/>
              <w:ind w:firstLine="420"/>
              <w:jc w:val="center"/>
              <w:rPr>
                <w:rFonts w:ascii="Times New Roman" w:hAnsi="Times New Roman"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933" w:hRule="atLeast"/>
        </w:trPr>
        <w:tc>
          <w:tcPr>
            <w:tcW w:w="8647" w:type="dxa"/>
            <w:gridSpan w:val="15"/>
            <w:tcBorders>
              <w:bottom w:val="single" w:color="auto" w:sz="4" w:space="0"/>
            </w:tcBorders>
            <w:shd w:val="clear" w:color="auto" w:fill="auto"/>
          </w:tcPr>
          <w:p>
            <w:pPr>
              <w:pStyle w:val="36"/>
              <w:jc w:val="both"/>
              <w:rPr>
                <w:rFonts w:ascii="Times New Roman" w:hAnsi="Times New Roman" w:cs="Times New Roman"/>
                <w:color w:val="auto"/>
                <w:sz w:val="21"/>
                <w:szCs w:val="21"/>
              </w:rPr>
            </w:pPr>
          </w:p>
          <w:p>
            <w:pPr>
              <w:pStyle w:val="36"/>
              <w:jc w:val="both"/>
              <w:rPr>
                <w:rFonts w:ascii="Times New Roman" w:hAnsi="Times New Roman" w:cs="Times New Roman"/>
                <w:color w:val="auto"/>
                <w:sz w:val="21"/>
                <w:szCs w:val="21"/>
              </w:rPr>
            </w:pPr>
          </w:p>
          <w:p>
            <w:pPr>
              <w:pStyle w:val="36"/>
              <w:jc w:val="both"/>
              <w:rPr>
                <w:rFonts w:ascii="Times New Roman" w:hAnsi="Times New Roman" w:cs="Times New Roman"/>
                <w:color w:val="auto"/>
                <w:sz w:val="21"/>
                <w:szCs w:val="21"/>
              </w:rPr>
            </w:pPr>
          </w:p>
          <w:p>
            <w:pPr>
              <w:pStyle w:val="36"/>
              <w:jc w:val="both"/>
              <w:rPr>
                <w:rFonts w:ascii="Times New Roman" w:hAnsi="Times New Roman" w:cs="Times New Roman"/>
                <w:color w:val="auto"/>
                <w:sz w:val="21"/>
                <w:szCs w:val="21"/>
              </w:rPr>
            </w:pPr>
          </w:p>
          <w:p>
            <w:pPr>
              <w:pStyle w:val="36"/>
              <w:jc w:val="both"/>
              <w:rPr>
                <w:rFonts w:ascii="Times New Roman" w:hAnsi="Times New Roman" w:cs="Times New Roman"/>
                <w:color w:val="auto"/>
                <w:sz w:val="21"/>
                <w:szCs w:val="21"/>
              </w:rPr>
            </w:pPr>
          </w:p>
          <w:p>
            <w:pPr>
              <w:pStyle w:val="36"/>
              <w:jc w:val="both"/>
              <w:rPr>
                <w:rFonts w:ascii="Times New Roman" w:hAnsi="Times New Roman" w:cs="Times New Roman"/>
                <w:color w:val="auto"/>
                <w:sz w:val="21"/>
                <w:szCs w:val="21"/>
              </w:rPr>
            </w:pPr>
          </w:p>
          <w:p>
            <w:pPr>
              <w:pStyle w:val="36"/>
              <w:jc w:val="both"/>
              <w:rPr>
                <w:rFonts w:ascii="Times New Roman" w:hAnsi="Times New Roman" w:cs="Times New Roman"/>
                <w:color w:val="auto"/>
                <w:sz w:val="21"/>
                <w:szCs w:val="21"/>
              </w:rPr>
            </w:pPr>
          </w:p>
          <w:p>
            <w:pPr>
              <w:pStyle w:val="36"/>
              <w:jc w:val="both"/>
              <w:rPr>
                <w:rFonts w:ascii="Times New Roman" w:hAnsi="Times New Roman" w:cs="Times New Roman"/>
                <w:color w:val="auto"/>
                <w:sz w:val="21"/>
                <w:szCs w:val="21"/>
              </w:rPr>
            </w:pPr>
          </w:p>
          <w:p>
            <w:pPr>
              <w:pStyle w:val="36"/>
              <w:jc w:val="both"/>
              <w:rPr>
                <w:rFonts w:ascii="Times New Roman" w:hAnsi="Times New Roman" w:cs="Times New Roman"/>
                <w:color w:val="auto"/>
                <w:sz w:val="21"/>
                <w:szCs w:val="21"/>
              </w:rPr>
            </w:pPr>
          </w:p>
          <w:p>
            <w:pPr>
              <w:pStyle w:val="36"/>
              <w:jc w:val="both"/>
              <w:rPr>
                <w:rFonts w:ascii="Times New Roman" w:hAnsi="Times New Roman" w:cs="Times New Roman"/>
                <w:color w:val="auto"/>
                <w:sz w:val="21"/>
                <w:szCs w:val="21"/>
              </w:rPr>
            </w:pPr>
            <w:r>
              <w:rPr>
                <w:rFonts w:hint="eastAsia" w:ascii="Times New Roman" w:hAnsi="Times New Roman" w:cs="Times New Roman"/>
                <w:color w:val="auto"/>
                <w:sz w:val="21"/>
                <w:szCs w:val="21"/>
              </w:rPr>
              <w:t>法人代表</w:t>
            </w:r>
            <w:r>
              <w:rPr>
                <w:rFonts w:hint="eastAsia" w:ascii="Times New Roman" w:hAnsi="Times New Roman" w:cs="Times New Roman"/>
                <w:sz w:val="21"/>
                <w:szCs w:val="21"/>
              </w:rPr>
              <w:t>或授权代表签章</w:t>
            </w:r>
            <w:r>
              <w:rPr>
                <w:rFonts w:hint="eastAsia" w:ascii="Times New Roman" w:hAnsi="Times New Roman" w:cs="Times New Roman"/>
                <w:color w:val="auto"/>
                <w:sz w:val="21"/>
                <w:szCs w:val="21"/>
              </w:rPr>
              <w:t>：</w:t>
            </w:r>
            <w:r>
              <w:rPr>
                <w:rFonts w:ascii="Times New Roman" w:hAnsi="Times New Roman" w:cs="Times New Roman"/>
                <w:color w:val="auto"/>
                <w:sz w:val="21"/>
                <w:szCs w:val="21"/>
              </w:rPr>
              <w:t xml:space="preserve">                   </w:t>
            </w:r>
            <w:r>
              <w:rPr>
                <w:rFonts w:hint="eastAsia" w:ascii="Times New Roman" w:hAnsi="Times New Roman" w:cs="Times New Roman"/>
                <w:color w:val="auto"/>
                <w:sz w:val="21"/>
                <w:szCs w:val="21"/>
              </w:rPr>
              <w:t>单位公章：</w:t>
            </w:r>
            <w:r>
              <w:rPr>
                <w:rFonts w:ascii="Times New Roman" w:hAnsi="Times New Roman" w:cs="Times New Roman"/>
                <w:color w:val="auto"/>
                <w:sz w:val="21"/>
                <w:szCs w:val="21"/>
              </w:rPr>
              <w:t xml:space="preserve">            </w:t>
            </w:r>
          </w:p>
          <w:p>
            <w:pPr>
              <w:pStyle w:val="36"/>
              <w:ind w:firstLine="4515" w:firstLineChars="2150"/>
              <w:jc w:val="both"/>
              <w:rPr>
                <w:rFonts w:ascii="Times New Roman" w:hAnsi="Times New Roman" w:cs="Times New Roman"/>
                <w:color w:val="auto"/>
                <w:sz w:val="21"/>
                <w:szCs w:val="21"/>
              </w:rPr>
            </w:pPr>
            <w:r>
              <w:rPr>
                <w:rFonts w:hint="eastAsia" w:ascii="Times New Roman" w:hAnsi="Times New Roman" w:cs="Times New Roman"/>
                <w:color w:val="auto"/>
                <w:sz w:val="21"/>
                <w:szCs w:val="21"/>
              </w:rPr>
              <w:t>日期：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0" w:hRule="atLeast"/>
        </w:trPr>
        <w:tc>
          <w:tcPr>
            <w:tcW w:w="1927" w:type="dxa"/>
            <w:gridSpan w:val="2"/>
            <w:shd w:val="clear" w:color="auto" w:fill="auto"/>
            <w:vAlign w:val="center"/>
          </w:tcPr>
          <w:p>
            <w:pPr>
              <w:pStyle w:val="36"/>
              <w:jc w:val="both"/>
              <w:rPr>
                <w:rFonts w:ascii="Times New Roman" w:hAnsi="Times New Roman" w:cs="Times New Roman"/>
                <w:color w:val="auto"/>
                <w:sz w:val="21"/>
                <w:szCs w:val="21"/>
              </w:rPr>
            </w:pPr>
            <w:r>
              <w:rPr>
                <w:rFonts w:hint="eastAsia" w:ascii="Times New Roman" w:hAnsi="Times New Roman"/>
                <w:sz w:val="21"/>
                <w:szCs w:val="21"/>
              </w:rPr>
              <w:t>经办人</w:t>
            </w:r>
          </w:p>
        </w:tc>
        <w:tc>
          <w:tcPr>
            <w:tcW w:w="2332" w:type="dxa"/>
            <w:gridSpan w:val="5"/>
            <w:shd w:val="clear" w:color="auto" w:fill="auto"/>
            <w:vAlign w:val="center"/>
          </w:tcPr>
          <w:p>
            <w:pPr>
              <w:pStyle w:val="36"/>
              <w:jc w:val="both"/>
              <w:rPr>
                <w:rFonts w:ascii="Times New Roman" w:hAnsi="Times New Roman" w:cs="Times New Roman"/>
                <w:color w:val="auto"/>
                <w:sz w:val="21"/>
                <w:szCs w:val="21"/>
              </w:rPr>
            </w:pPr>
          </w:p>
        </w:tc>
        <w:tc>
          <w:tcPr>
            <w:tcW w:w="2332" w:type="dxa"/>
            <w:gridSpan w:val="6"/>
            <w:shd w:val="clear" w:color="auto" w:fill="auto"/>
            <w:vAlign w:val="center"/>
          </w:tcPr>
          <w:p>
            <w:pPr>
              <w:pStyle w:val="36"/>
              <w:jc w:val="both"/>
              <w:rPr>
                <w:rFonts w:ascii="Times New Roman" w:hAnsi="Times New Roman" w:cs="Times New Roman"/>
                <w:color w:val="auto"/>
                <w:sz w:val="21"/>
                <w:szCs w:val="21"/>
              </w:rPr>
            </w:pPr>
            <w:r>
              <w:rPr>
                <w:rFonts w:hint="eastAsia" w:ascii="Times New Roman" w:hAnsi="Times New Roman"/>
                <w:sz w:val="21"/>
                <w:szCs w:val="21"/>
              </w:rPr>
              <w:t>联系电话</w:t>
            </w:r>
          </w:p>
        </w:tc>
        <w:tc>
          <w:tcPr>
            <w:tcW w:w="2056" w:type="dxa"/>
            <w:gridSpan w:val="2"/>
            <w:shd w:val="clear" w:color="auto" w:fill="auto"/>
          </w:tcPr>
          <w:p>
            <w:pPr>
              <w:pStyle w:val="36"/>
              <w:jc w:val="both"/>
              <w:rPr>
                <w:rFonts w:ascii="Times New Roman" w:hAnsi="Times New Roman" w:cs="Times New Roman"/>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atLeast"/>
        </w:trPr>
        <w:tc>
          <w:tcPr>
            <w:tcW w:w="8647" w:type="dxa"/>
            <w:gridSpan w:val="15"/>
            <w:shd w:val="clear" w:color="auto" w:fill="auto"/>
            <w:vAlign w:val="center"/>
          </w:tcPr>
          <w:p>
            <w:pPr>
              <w:tabs>
                <w:tab w:val="center" w:pos="4153"/>
                <w:tab w:val="right" w:pos="8306"/>
              </w:tabs>
              <w:snapToGrid w:val="0"/>
              <w:spacing w:line="360" w:lineRule="exact"/>
              <w:rPr>
                <w:rFonts w:ascii="仿宋" w:hAnsi="仿宋" w:eastAsia="仿宋"/>
                <w:color w:val="000000"/>
                <w:kern w:val="0"/>
                <w:szCs w:val="21"/>
              </w:rPr>
            </w:pPr>
            <w:r>
              <w:rPr>
                <w:rFonts w:hint="eastAsia" w:ascii="仿宋" w:hAnsi="仿宋" w:eastAsia="仿宋"/>
                <w:color w:val="000000"/>
                <w:kern w:val="0"/>
                <w:szCs w:val="21"/>
              </w:rPr>
              <w:t>注：</w:t>
            </w:r>
            <w:r>
              <w:rPr>
                <w:rFonts w:ascii="仿宋" w:hAnsi="仿宋" w:eastAsia="仿宋"/>
                <w:color w:val="000000"/>
                <w:kern w:val="0"/>
                <w:szCs w:val="21"/>
              </w:rPr>
              <w:t xml:space="preserve">1．请在电子版上填写后打印、签字、盖章； </w:t>
            </w:r>
          </w:p>
          <w:p>
            <w:pPr>
              <w:tabs>
                <w:tab w:val="center" w:pos="4153"/>
                <w:tab w:val="right" w:pos="8306"/>
              </w:tabs>
              <w:snapToGrid w:val="0"/>
              <w:spacing w:line="360" w:lineRule="exact"/>
              <w:ind w:firstLine="420" w:firstLineChars="200"/>
              <w:rPr>
                <w:rFonts w:ascii="仿宋" w:hAnsi="仿宋" w:eastAsia="仿宋"/>
                <w:color w:val="000000"/>
                <w:kern w:val="0"/>
                <w:szCs w:val="21"/>
              </w:rPr>
            </w:pPr>
            <w:r>
              <w:rPr>
                <w:rFonts w:ascii="仿宋" w:hAnsi="仿宋" w:eastAsia="仿宋"/>
                <w:color w:val="000000"/>
                <w:kern w:val="0"/>
                <w:szCs w:val="21"/>
              </w:rPr>
              <w:t>2．</w:t>
            </w:r>
            <w:r>
              <w:rPr>
                <w:rFonts w:hint="eastAsia" w:ascii="Times New Roman" w:hAnsi="Times New Roman" w:eastAsia="仿宋"/>
                <w:szCs w:val="21"/>
              </w:rPr>
              <w:t>业务人员至少指定</w:t>
            </w:r>
            <w:r>
              <w:rPr>
                <w:rFonts w:ascii="Times New Roman" w:hAnsi="Times New Roman" w:eastAsia="仿宋"/>
                <w:szCs w:val="21"/>
              </w:rPr>
              <w:t>2</w:t>
            </w:r>
            <w:r>
              <w:rPr>
                <w:rFonts w:hint="eastAsia" w:ascii="Times New Roman" w:hAnsi="Times New Roman" w:eastAsia="仿宋"/>
                <w:szCs w:val="21"/>
              </w:rPr>
              <w:t>名，并提供准确、完整的联系方式</w:t>
            </w:r>
            <w:r>
              <w:rPr>
                <w:rFonts w:hint="eastAsia" w:ascii="仿宋" w:hAnsi="仿宋" w:eastAsia="仿宋"/>
                <w:color w:val="000000"/>
                <w:kern w:val="0"/>
                <w:szCs w:val="21"/>
              </w:rPr>
              <w:t>；</w:t>
            </w:r>
          </w:p>
          <w:p>
            <w:pPr>
              <w:tabs>
                <w:tab w:val="center" w:pos="4153"/>
                <w:tab w:val="right" w:pos="8306"/>
              </w:tabs>
              <w:snapToGrid w:val="0"/>
              <w:spacing w:line="360" w:lineRule="exact"/>
              <w:ind w:firstLine="420" w:firstLineChars="200"/>
              <w:rPr>
                <w:rFonts w:ascii="仿宋" w:hAnsi="仿宋" w:eastAsia="仿宋"/>
                <w:color w:val="000000"/>
                <w:kern w:val="0"/>
                <w:szCs w:val="21"/>
              </w:rPr>
            </w:pPr>
            <w:r>
              <w:rPr>
                <w:rFonts w:ascii="仿宋" w:hAnsi="仿宋" w:eastAsia="仿宋"/>
                <w:color w:val="000000"/>
                <w:kern w:val="0"/>
                <w:szCs w:val="21"/>
              </w:rPr>
              <w:t>3</w:t>
            </w:r>
            <w:r>
              <w:rPr>
                <w:rFonts w:hint="eastAsia" w:ascii="仿宋" w:hAnsi="仿宋" w:eastAsia="仿宋"/>
                <w:color w:val="000000"/>
                <w:kern w:val="0"/>
                <w:szCs w:val="21"/>
              </w:rPr>
              <w:t>．财务信息应</w:t>
            </w:r>
            <w:r>
              <w:rPr>
                <w:rFonts w:ascii="仿宋" w:hAnsi="仿宋" w:eastAsia="仿宋"/>
                <w:color w:val="000000"/>
                <w:kern w:val="0"/>
                <w:szCs w:val="21"/>
              </w:rPr>
              <w:t>填写最近三个财务年度的相关信息</w:t>
            </w:r>
            <w:r>
              <w:rPr>
                <w:rFonts w:hint="eastAsia" w:ascii="仿宋" w:hAnsi="仿宋" w:eastAsia="仿宋"/>
                <w:color w:val="000000"/>
                <w:kern w:val="0"/>
                <w:szCs w:val="21"/>
              </w:rPr>
              <w:t>。</w:t>
            </w:r>
          </w:p>
        </w:tc>
      </w:tr>
    </w:tbl>
    <w:p>
      <w:pPr>
        <w:rPr>
          <w:rFonts w:ascii="Times New Roman" w:hAnsi="Times New Roman" w:eastAsia="仿宋"/>
          <w:sz w:val="24"/>
          <w:szCs w:val="24"/>
        </w:rPr>
        <w:sectPr>
          <w:pgSz w:w="11906" w:h="16838"/>
          <w:pgMar w:top="1440" w:right="1800" w:bottom="1440" w:left="1800" w:header="851" w:footer="992" w:gutter="0"/>
          <w:cols w:space="425" w:num="1"/>
          <w:docGrid w:type="lines" w:linePitch="312" w:charSpace="0"/>
        </w:sectPr>
      </w:pPr>
    </w:p>
    <w:p>
      <w:pPr>
        <w:widowControl/>
        <w:spacing w:line="580" w:lineRule="exact"/>
        <w:jc w:val="left"/>
        <w:rPr>
          <w:rFonts w:ascii="黑体" w:hAnsi="宋体" w:eastAsia="黑体"/>
          <w:sz w:val="32"/>
          <w:szCs w:val="32"/>
          <w:lang w:bidi="ar"/>
        </w:rPr>
      </w:pPr>
      <w:r>
        <w:rPr>
          <w:rFonts w:hint="eastAsia" w:ascii="黑体" w:hAnsi="宋体" w:eastAsia="黑体"/>
          <w:sz w:val="32"/>
          <w:szCs w:val="32"/>
          <w:lang w:bidi="ar"/>
        </w:rPr>
        <w:t>附</w:t>
      </w:r>
      <w:r>
        <w:rPr>
          <w:rFonts w:ascii="黑体" w:hAnsi="宋体" w:eastAsia="黑体"/>
          <w:sz w:val="32"/>
          <w:szCs w:val="32"/>
          <w:lang w:bidi="ar"/>
        </w:rPr>
        <w:t>11</w:t>
      </w:r>
    </w:p>
    <w:p>
      <w:pPr>
        <w:spacing w:line="360" w:lineRule="auto"/>
        <w:jc w:val="center"/>
        <w:rPr>
          <w:rFonts w:ascii="宋体" w:hAnsi="宋体" w:cs="宋体"/>
          <w:b/>
          <w:sz w:val="44"/>
          <w:szCs w:val="44"/>
          <w:lang w:bidi="ar"/>
        </w:rPr>
      </w:pPr>
      <w:r>
        <w:rPr>
          <w:rFonts w:hint="eastAsia" w:ascii="宋体" w:hAnsi="宋体" w:cs="宋体"/>
          <w:b/>
          <w:sz w:val="44"/>
          <w:szCs w:val="44"/>
          <w:lang w:bidi="ar"/>
        </w:rPr>
        <w:t>银行间市场清算所股份有限公司</w:t>
      </w:r>
    </w:p>
    <w:p>
      <w:pPr>
        <w:spacing w:line="360" w:lineRule="auto"/>
        <w:jc w:val="center"/>
        <w:rPr>
          <w:rFonts w:ascii="宋体" w:hAnsi="宋体" w:cs="宋体"/>
          <w:b/>
          <w:sz w:val="44"/>
          <w:szCs w:val="44"/>
          <w:lang w:bidi="ar"/>
        </w:rPr>
      </w:pPr>
      <w:r>
        <w:rPr>
          <w:rFonts w:hint="eastAsia" w:ascii="宋体" w:hAnsi="宋体" w:cs="宋体"/>
          <w:b/>
          <w:sz w:val="44"/>
          <w:szCs w:val="44"/>
          <w:lang w:bidi="ar"/>
        </w:rPr>
        <w:t>大宗商品现货清算业务</w:t>
      </w:r>
    </w:p>
    <w:p>
      <w:pPr>
        <w:spacing w:line="360" w:lineRule="auto"/>
        <w:jc w:val="center"/>
        <w:rPr>
          <w:rFonts w:ascii="宋体" w:hAnsi="宋体" w:cs="宋体"/>
          <w:b/>
          <w:sz w:val="44"/>
          <w:szCs w:val="44"/>
          <w:lang w:bidi="ar"/>
        </w:rPr>
      </w:pPr>
      <w:r>
        <w:rPr>
          <w:rFonts w:hint="eastAsia" w:ascii="宋体" w:hAnsi="宋体" w:cs="宋体"/>
          <w:b/>
          <w:sz w:val="44"/>
          <w:szCs w:val="44"/>
          <w:lang w:bidi="ar"/>
        </w:rPr>
        <w:t>资金结算账户申请表</w:t>
      </w:r>
    </w:p>
    <w:tbl>
      <w:tblPr>
        <w:tblStyle w:val="21"/>
        <w:tblW w:w="9356" w:type="dxa"/>
        <w:jc w:val="center"/>
        <w:tblInd w:w="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1696"/>
        <w:gridCol w:w="1507"/>
        <w:gridCol w:w="478"/>
        <w:gridCol w:w="406"/>
        <w:gridCol w:w="1295"/>
        <w:gridCol w:w="1276"/>
        <w:gridCol w:w="2698"/>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505" w:hRule="atLeast"/>
          <w:jc w:val="center"/>
        </w:trPr>
        <w:tc>
          <w:tcPr>
            <w:tcW w:w="1696" w:type="dxa"/>
            <w:tcBorders>
              <w:bottom w:val="single" w:color="auto" w:sz="4" w:space="0"/>
            </w:tcBorders>
            <w:vAlign w:val="center"/>
          </w:tcPr>
          <w:p>
            <w:pPr>
              <w:spacing w:line="240" w:lineRule="exact"/>
              <w:contextualSpacing/>
              <w:jc w:val="center"/>
              <w:rPr>
                <w:rFonts w:ascii="仿宋" w:hAnsi="仿宋" w:eastAsia="仿宋"/>
                <w:sz w:val="24"/>
              </w:rPr>
            </w:pPr>
            <w:r>
              <w:rPr>
                <w:rFonts w:hint="eastAsia" w:ascii="仿宋" w:hAnsi="仿宋" w:eastAsia="仿宋"/>
                <w:sz w:val="24"/>
              </w:rPr>
              <w:t>申请机构名称</w:t>
            </w:r>
          </w:p>
        </w:tc>
        <w:tc>
          <w:tcPr>
            <w:tcW w:w="7660" w:type="dxa"/>
            <w:gridSpan w:val="6"/>
            <w:tcBorders>
              <w:bottom w:val="single" w:color="auto" w:sz="4" w:space="0"/>
            </w:tcBorders>
            <w:vAlign w:val="center"/>
          </w:tcPr>
          <w:p>
            <w:pPr>
              <w:spacing w:line="240" w:lineRule="exact"/>
              <w:contextualSpacing/>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346" w:hRule="atLeast"/>
          <w:jc w:val="center"/>
        </w:trPr>
        <w:tc>
          <w:tcPr>
            <w:tcW w:w="1696" w:type="dxa"/>
            <w:vMerge w:val="restart"/>
            <w:vAlign w:val="center"/>
          </w:tcPr>
          <w:p>
            <w:pPr>
              <w:spacing w:line="240" w:lineRule="exact"/>
              <w:contextualSpacing/>
              <w:jc w:val="center"/>
              <w:rPr>
                <w:rFonts w:ascii="仿宋" w:hAnsi="仿宋" w:eastAsia="仿宋"/>
                <w:sz w:val="24"/>
              </w:rPr>
            </w:pPr>
            <w:r>
              <w:rPr>
                <w:rFonts w:hint="eastAsia" w:ascii="仿宋" w:hAnsi="仿宋" w:eastAsia="仿宋"/>
                <w:color w:val="000000"/>
                <w:kern w:val="0"/>
                <w:sz w:val="24"/>
                <w:szCs w:val="24"/>
              </w:rPr>
              <w:t>□</w:t>
            </w:r>
            <w:r>
              <w:rPr>
                <w:rFonts w:hint="eastAsia" w:ascii="仿宋" w:hAnsi="仿宋" w:eastAsia="仿宋"/>
                <w:sz w:val="24"/>
              </w:rPr>
              <w:t>境内业务</w:t>
            </w:r>
          </w:p>
        </w:tc>
        <w:tc>
          <w:tcPr>
            <w:tcW w:w="1985" w:type="dxa"/>
            <w:gridSpan w:val="2"/>
            <w:vMerge w:val="restart"/>
            <w:tcBorders>
              <w:right w:val="single" w:color="auto" w:sz="4" w:space="0"/>
            </w:tcBorders>
            <w:vAlign w:val="center"/>
          </w:tcPr>
          <w:p>
            <w:pPr>
              <w:spacing w:line="240" w:lineRule="exact"/>
              <w:contextualSpacing/>
              <w:rPr>
                <w:rFonts w:ascii="仿宋" w:hAnsi="仿宋" w:eastAsia="仿宋"/>
                <w:sz w:val="24"/>
              </w:rPr>
            </w:pPr>
            <w:r>
              <w:rPr>
                <w:rFonts w:hint="eastAsia" w:ascii="仿宋" w:hAnsi="仿宋" w:eastAsia="仿宋"/>
                <w:sz w:val="24"/>
              </w:rPr>
              <w:t>开在大额</w:t>
            </w:r>
            <w:r>
              <w:rPr>
                <w:rFonts w:ascii="仿宋" w:hAnsi="仿宋" w:eastAsia="仿宋"/>
                <w:sz w:val="24"/>
              </w:rPr>
              <w:t>支付系统</w:t>
            </w:r>
            <w:r>
              <w:rPr>
                <w:rFonts w:hint="eastAsia" w:ascii="仿宋" w:hAnsi="仿宋" w:eastAsia="仿宋"/>
                <w:sz w:val="24"/>
              </w:rPr>
              <w:t>的</w:t>
            </w:r>
            <w:r>
              <w:rPr>
                <w:rFonts w:ascii="仿宋" w:hAnsi="仿宋" w:eastAsia="仿宋"/>
                <w:sz w:val="24"/>
              </w:rPr>
              <w:t>清算账户</w:t>
            </w:r>
          </w:p>
        </w:tc>
        <w:tc>
          <w:tcPr>
            <w:tcW w:w="1701" w:type="dxa"/>
            <w:gridSpan w:val="2"/>
            <w:tcBorders>
              <w:left w:val="single" w:color="auto" w:sz="4" w:space="0"/>
              <w:right w:val="single" w:color="auto" w:sz="4" w:space="0"/>
            </w:tcBorders>
            <w:vAlign w:val="center"/>
          </w:tcPr>
          <w:p>
            <w:pPr>
              <w:spacing w:line="240" w:lineRule="exact"/>
              <w:contextualSpacing/>
              <w:jc w:val="center"/>
              <w:rPr>
                <w:rFonts w:ascii="仿宋" w:hAnsi="仿宋" w:eastAsia="仿宋"/>
                <w:sz w:val="24"/>
              </w:rPr>
            </w:pPr>
            <w:r>
              <w:rPr>
                <w:rFonts w:hint="eastAsia" w:ascii="仿宋" w:hAnsi="仿宋" w:eastAsia="仿宋"/>
                <w:sz w:val="24"/>
              </w:rPr>
              <w:t>户名</w:t>
            </w:r>
          </w:p>
        </w:tc>
        <w:tc>
          <w:tcPr>
            <w:tcW w:w="3974" w:type="dxa"/>
            <w:gridSpan w:val="2"/>
            <w:tcBorders>
              <w:left w:val="single" w:color="auto" w:sz="4" w:space="0"/>
            </w:tcBorders>
            <w:vAlign w:val="center"/>
          </w:tcPr>
          <w:p>
            <w:pPr>
              <w:spacing w:line="240" w:lineRule="exact"/>
              <w:contextualSpacing/>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346" w:hRule="atLeast"/>
          <w:jc w:val="center"/>
        </w:trPr>
        <w:tc>
          <w:tcPr>
            <w:tcW w:w="1696" w:type="dxa"/>
            <w:vMerge w:val="continue"/>
            <w:vAlign w:val="center"/>
          </w:tcPr>
          <w:p>
            <w:pPr>
              <w:spacing w:line="240" w:lineRule="exact"/>
              <w:contextualSpacing/>
              <w:jc w:val="center"/>
              <w:rPr>
                <w:rFonts w:ascii="仿宋" w:hAnsi="仿宋" w:eastAsia="仿宋"/>
                <w:sz w:val="24"/>
              </w:rPr>
            </w:pPr>
          </w:p>
        </w:tc>
        <w:tc>
          <w:tcPr>
            <w:tcW w:w="1985" w:type="dxa"/>
            <w:gridSpan w:val="2"/>
            <w:vMerge w:val="continue"/>
            <w:tcBorders>
              <w:right w:val="single" w:color="auto" w:sz="4" w:space="0"/>
            </w:tcBorders>
            <w:vAlign w:val="center"/>
          </w:tcPr>
          <w:p>
            <w:pPr>
              <w:spacing w:line="240" w:lineRule="exact"/>
              <w:contextualSpacing/>
              <w:rPr>
                <w:rFonts w:ascii="仿宋" w:hAnsi="仿宋" w:eastAsia="仿宋"/>
                <w:sz w:val="24"/>
              </w:rPr>
            </w:pPr>
          </w:p>
        </w:tc>
        <w:tc>
          <w:tcPr>
            <w:tcW w:w="1701" w:type="dxa"/>
            <w:gridSpan w:val="2"/>
            <w:tcBorders>
              <w:left w:val="single" w:color="auto" w:sz="4" w:space="0"/>
              <w:right w:val="single" w:color="auto" w:sz="4" w:space="0"/>
            </w:tcBorders>
            <w:vAlign w:val="center"/>
          </w:tcPr>
          <w:p>
            <w:pPr>
              <w:spacing w:line="240" w:lineRule="exact"/>
              <w:contextualSpacing/>
              <w:jc w:val="center"/>
              <w:rPr>
                <w:rFonts w:ascii="仿宋" w:hAnsi="仿宋" w:eastAsia="仿宋"/>
                <w:sz w:val="24"/>
              </w:rPr>
            </w:pPr>
            <w:r>
              <w:rPr>
                <w:rFonts w:hint="eastAsia" w:ascii="仿宋" w:hAnsi="仿宋" w:eastAsia="仿宋"/>
                <w:sz w:val="24"/>
              </w:rPr>
              <w:t>行号</w:t>
            </w:r>
          </w:p>
        </w:tc>
        <w:tc>
          <w:tcPr>
            <w:tcW w:w="3974" w:type="dxa"/>
            <w:gridSpan w:val="2"/>
            <w:tcBorders>
              <w:left w:val="single" w:color="auto" w:sz="4" w:space="0"/>
            </w:tcBorders>
            <w:vAlign w:val="center"/>
          </w:tcPr>
          <w:p>
            <w:pPr>
              <w:spacing w:line="240" w:lineRule="exact"/>
              <w:contextualSpacing/>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346" w:hRule="atLeast"/>
          <w:jc w:val="center"/>
        </w:trPr>
        <w:tc>
          <w:tcPr>
            <w:tcW w:w="1696" w:type="dxa"/>
            <w:vMerge w:val="continue"/>
            <w:vAlign w:val="center"/>
          </w:tcPr>
          <w:p>
            <w:pPr>
              <w:spacing w:line="240" w:lineRule="exact"/>
              <w:contextualSpacing/>
              <w:jc w:val="center"/>
              <w:rPr>
                <w:rFonts w:ascii="仿宋" w:hAnsi="仿宋" w:eastAsia="仿宋"/>
                <w:sz w:val="24"/>
              </w:rPr>
            </w:pPr>
          </w:p>
        </w:tc>
        <w:tc>
          <w:tcPr>
            <w:tcW w:w="1985" w:type="dxa"/>
            <w:gridSpan w:val="2"/>
            <w:vMerge w:val="continue"/>
            <w:tcBorders>
              <w:right w:val="single" w:color="auto" w:sz="4" w:space="0"/>
            </w:tcBorders>
            <w:vAlign w:val="center"/>
          </w:tcPr>
          <w:p>
            <w:pPr>
              <w:spacing w:line="240" w:lineRule="exact"/>
              <w:contextualSpacing/>
              <w:rPr>
                <w:rFonts w:ascii="仿宋" w:hAnsi="仿宋" w:eastAsia="仿宋"/>
                <w:sz w:val="24"/>
              </w:rPr>
            </w:pPr>
          </w:p>
        </w:tc>
        <w:tc>
          <w:tcPr>
            <w:tcW w:w="1701" w:type="dxa"/>
            <w:gridSpan w:val="2"/>
            <w:tcBorders>
              <w:left w:val="single" w:color="auto" w:sz="4" w:space="0"/>
              <w:right w:val="single" w:color="auto" w:sz="4" w:space="0"/>
            </w:tcBorders>
            <w:vAlign w:val="center"/>
          </w:tcPr>
          <w:p>
            <w:pPr>
              <w:spacing w:line="240" w:lineRule="exact"/>
              <w:contextualSpacing/>
              <w:jc w:val="center"/>
              <w:rPr>
                <w:rFonts w:ascii="仿宋" w:hAnsi="仿宋" w:eastAsia="仿宋"/>
                <w:sz w:val="24"/>
              </w:rPr>
            </w:pPr>
            <w:r>
              <w:rPr>
                <w:rFonts w:hint="eastAsia" w:ascii="仿宋" w:hAnsi="仿宋" w:eastAsia="仿宋"/>
                <w:sz w:val="24"/>
              </w:rPr>
              <w:t>账号</w:t>
            </w:r>
          </w:p>
        </w:tc>
        <w:tc>
          <w:tcPr>
            <w:tcW w:w="3974" w:type="dxa"/>
            <w:gridSpan w:val="2"/>
            <w:tcBorders>
              <w:left w:val="single" w:color="auto" w:sz="4" w:space="0"/>
            </w:tcBorders>
            <w:vAlign w:val="center"/>
          </w:tcPr>
          <w:p>
            <w:pPr>
              <w:spacing w:line="240" w:lineRule="exact"/>
              <w:contextualSpacing/>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346" w:hRule="atLeast"/>
          <w:jc w:val="center"/>
        </w:trPr>
        <w:tc>
          <w:tcPr>
            <w:tcW w:w="1696" w:type="dxa"/>
            <w:vMerge w:val="restart"/>
            <w:vAlign w:val="center"/>
          </w:tcPr>
          <w:p>
            <w:pPr>
              <w:spacing w:line="240" w:lineRule="exact"/>
              <w:contextualSpacing/>
              <w:rPr>
                <w:rFonts w:ascii="仿宋" w:hAnsi="仿宋" w:eastAsia="仿宋"/>
                <w:sz w:val="24"/>
              </w:rPr>
            </w:pPr>
            <w:r>
              <w:rPr>
                <w:rFonts w:hint="eastAsia" w:ascii="仿宋" w:hAnsi="仿宋" w:eastAsia="仿宋"/>
                <w:color w:val="000000"/>
                <w:kern w:val="0"/>
                <w:sz w:val="24"/>
                <w:szCs w:val="24"/>
              </w:rPr>
              <w:t>□</w:t>
            </w:r>
            <w:r>
              <w:rPr>
                <w:rFonts w:hint="eastAsia" w:ascii="仿宋" w:hAnsi="仿宋" w:eastAsia="仿宋"/>
                <w:sz w:val="24"/>
              </w:rPr>
              <w:t>上海自贸区</w:t>
            </w:r>
          </w:p>
          <w:p>
            <w:pPr>
              <w:spacing w:line="240" w:lineRule="exact"/>
              <w:contextualSpacing/>
              <w:jc w:val="center"/>
              <w:rPr>
                <w:rFonts w:ascii="仿宋" w:hAnsi="仿宋" w:eastAsia="仿宋"/>
                <w:sz w:val="24"/>
              </w:rPr>
            </w:pPr>
            <w:r>
              <w:rPr>
                <w:rFonts w:ascii="仿宋" w:hAnsi="仿宋" w:eastAsia="仿宋"/>
                <w:sz w:val="24"/>
              </w:rPr>
              <w:t>业务</w:t>
            </w:r>
          </w:p>
        </w:tc>
        <w:tc>
          <w:tcPr>
            <w:tcW w:w="1985" w:type="dxa"/>
            <w:gridSpan w:val="2"/>
            <w:vMerge w:val="restart"/>
            <w:tcBorders>
              <w:right w:val="single" w:color="auto" w:sz="4" w:space="0"/>
            </w:tcBorders>
            <w:vAlign w:val="center"/>
          </w:tcPr>
          <w:p>
            <w:pPr>
              <w:spacing w:line="240" w:lineRule="exact"/>
              <w:contextualSpacing/>
              <w:rPr>
                <w:rFonts w:ascii="仿宋" w:hAnsi="仿宋" w:eastAsia="仿宋"/>
                <w:sz w:val="24"/>
              </w:rPr>
            </w:pPr>
            <w:r>
              <w:rPr>
                <w:rFonts w:hint="eastAsia" w:ascii="仿宋" w:hAnsi="仿宋" w:eastAsia="仿宋"/>
                <w:sz w:val="24"/>
              </w:rPr>
              <w:t>开在</w:t>
            </w:r>
            <w:r>
              <w:rPr>
                <w:rFonts w:ascii="仿宋" w:hAnsi="仿宋" w:eastAsia="仿宋"/>
                <w:sz w:val="24"/>
              </w:rPr>
              <w:t>上海清算所的资金结算专户</w:t>
            </w:r>
          </w:p>
        </w:tc>
        <w:tc>
          <w:tcPr>
            <w:tcW w:w="1701" w:type="dxa"/>
            <w:gridSpan w:val="2"/>
            <w:vMerge w:val="restart"/>
            <w:tcBorders>
              <w:left w:val="single" w:color="auto" w:sz="4" w:space="0"/>
              <w:right w:val="single" w:color="auto" w:sz="4" w:space="0"/>
            </w:tcBorders>
            <w:vAlign w:val="center"/>
          </w:tcPr>
          <w:p>
            <w:pPr>
              <w:spacing w:line="240" w:lineRule="exact"/>
              <w:contextualSpacing/>
              <w:rPr>
                <w:rFonts w:ascii="仿宋" w:hAnsi="仿宋" w:eastAsia="仿宋"/>
                <w:sz w:val="24"/>
              </w:rPr>
            </w:pPr>
            <w:r>
              <w:rPr>
                <w:rFonts w:hint="eastAsia" w:ascii="仿宋" w:hAnsi="仿宋" w:eastAsia="仿宋"/>
                <w:sz w:val="24"/>
              </w:rPr>
              <w:t>大额</w:t>
            </w:r>
            <w:r>
              <w:rPr>
                <w:rFonts w:ascii="仿宋" w:hAnsi="仿宋" w:eastAsia="仿宋"/>
                <w:sz w:val="24"/>
              </w:rPr>
              <w:t>支付系统清算账户信息</w:t>
            </w:r>
          </w:p>
        </w:tc>
        <w:tc>
          <w:tcPr>
            <w:tcW w:w="1276" w:type="dxa"/>
            <w:tcBorders>
              <w:left w:val="single" w:color="auto" w:sz="4" w:space="0"/>
              <w:right w:val="single" w:color="auto" w:sz="4" w:space="0"/>
            </w:tcBorders>
            <w:vAlign w:val="center"/>
          </w:tcPr>
          <w:p>
            <w:pPr>
              <w:spacing w:line="240" w:lineRule="exact"/>
              <w:contextualSpacing/>
              <w:jc w:val="center"/>
              <w:rPr>
                <w:rFonts w:ascii="仿宋" w:hAnsi="仿宋" w:eastAsia="仿宋"/>
                <w:sz w:val="24"/>
              </w:rPr>
            </w:pPr>
            <w:r>
              <w:rPr>
                <w:rFonts w:hint="eastAsia" w:ascii="仿宋" w:hAnsi="仿宋" w:eastAsia="仿宋"/>
                <w:sz w:val="24"/>
              </w:rPr>
              <w:t>户名</w:t>
            </w:r>
          </w:p>
        </w:tc>
        <w:tc>
          <w:tcPr>
            <w:tcW w:w="2698" w:type="dxa"/>
            <w:tcBorders>
              <w:left w:val="single" w:color="auto" w:sz="4" w:space="0"/>
            </w:tcBorders>
            <w:vAlign w:val="center"/>
          </w:tcPr>
          <w:p>
            <w:pPr>
              <w:spacing w:line="240" w:lineRule="exact"/>
              <w:contextualSpacing/>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346" w:hRule="atLeast"/>
          <w:jc w:val="center"/>
        </w:trPr>
        <w:tc>
          <w:tcPr>
            <w:tcW w:w="1696" w:type="dxa"/>
            <w:vMerge w:val="continue"/>
            <w:vAlign w:val="center"/>
          </w:tcPr>
          <w:p>
            <w:pPr>
              <w:spacing w:line="240" w:lineRule="exact"/>
              <w:contextualSpacing/>
              <w:jc w:val="center"/>
              <w:rPr>
                <w:rFonts w:ascii="仿宋" w:hAnsi="仿宋" w:eastAsia="仿宋"/>
                <w:sz w:val="24"/>
              </w:rPr>
            </w:pPr>
          </w:p>
        </w:tc>
        <w:tc>
          <w:tcPr>
            <w:tcW w:w="1985" w:type="dxa"/>
            <w:gridSpan w:val="2"/>
            <w:vMerge w:val="continue"/>
            <w:tcBorders>
              <w:right w:val="single" w:color="auto" w:sz="4" w:space="0"/>
            </w:tcBorders>
            <w:vAlign w:val="center"/>
          </w:tcPr>
          <w:p>
            <w:pPr>
              <w:spacing w:line="240" w:lineRule="exact"/>
              <w:contextualSpacing/>
              <w:jc w:val="center"/>
              <w:rPr>
                <w:rFonts w:ascii="仿宋" w:hAnsi="仿宋" w:eastAsia="仿宋"/>
                <w:sz w:val="24"/>
              </w:rPr>
            </w:pPr>
          </w:p>
        </w:tc>
        <w:tc>
          <w:tcPr>
            <w:tcW w:w="1701" w:type="dxa"/>
            <w:gridSpan w:val="2"/>
            <w:vMerge w:val="continue"/>
            <w:tcBorders>
              <w:left w:val="single" w:color="auto" w:sz="4" w:space="0"/>
              <w:right w:val="single" w:color="auto" w:sz="4" w:space="0"/>
            </w:tcBorders>
            <w:vAlign w:val="center"/>
          </w:tcPr>
          <w:p>
            <w:pPr>
              <w:spacing w:line="240" w:lineRule="exact"/>
              <w:contextualSpacing/>
              <w:rPr>
                <w:rFonts w:ascii="仿宋" w:hAnsi="仿宋" w:eastAsia="仿宋"/>
                <w:sz w:val="24"/>
              </w:rPr>
            </w:pPr>
          </w:p>
        </w:tc>
        <w:tc>
          <w:tcPr>
            <w:tcW w:w="1276" w:type="dxa"/>
            <w:tcBorders>
              <w:left w:val="single" w:color="auto" w:sz="4" w:space="0"/>
              <w:right w:val="single" w:color="auto" w:sz="4" w:space="0"/>
            </w:tcBorders>
            <w:vAlign w:val="center"/>
          </w:tcPr>
          <w:p>
            <w:pPr>
              <w:spacing w:line="240" w:lineRule="exact"/>
              <w:contextualSpacing/>
              <w:jc w:val="center"/>
              <w:rPr>
                <w:rFonts w:ascii="仿宋" w:hAnsi="仿宋" w:eastAsia="仿宋"/>
                <w:sz w:val="24"/>
              </w:rPr>
            </w:pPr>
            <w:r>
              <w:rPr>
                <w:rFonts w:hint="eastAsia" w:ascii="仿宋" w:hAnsi="仿宋" w:eastAsia="仿宋"/>
                <w:sz w:val="24"/>
              </w:rPr>
              <w:t>行号</w:t>
            </w:r>
          </w:p>
        </w:tc>
        <w:tc>
          <w:tcPr>
            <w:tcW w:w="2698" w:type="dxa"/>
            <w:tcBorders>
              <w:left w:val="single" w:color="auto" w:sz="4" w:space="0"/>
            </w:tcBorders>
            <w:vAlign w:val="center"/>
          </w:tcPr>
          <w:p>
            <w:pPr>
              <w:spacing w:line="240" w:lineRule="exact"/>
              <w:contextualSpacing/>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346" w:hRule="atLeast"/>
          <w:jc w:val="center"/>
        </w:trPr>
        <w:tc>
          <w:tcPr>
            <w:tcW w:w="1696" w:type="dxa"/>
            <w:vMerge w:val="continue"/>
            <w:vAlign w:val="center"/>
          </w:tcPr>
          <w:p>
            <w:pPr>
              <w:spacing w:line="240" w:lineRule="exact"/>
              <w:contextualSpacing/>
              <w:jc w:val="center"/>
              <w:rPr>
                <w:rFonts w:ascii="仿宋" w:hAnsi="仿宋" w:eastAsia="仿宋"/>
                <w:sz w:val="24"/>
              </w:rPr>
            </w:pPr>
          </w:p>
        </w:tc>
        <w:tc>
          <w:tcPr>
            <w:tcW w:w="1985" w:type="dxa"/>
            <w:gridSpan w:val="2"/>
            <w:vMerge w:val="continue"/>
            <w:tcBorders>
              <w:right w:val="single" w:color="auto" w:sz="4" w:space="0"/>
            </w:tcBorders>
            <w:vAlign w:val="center"/>
          </w:tcPr>
          <w:p>
            <w:pPr>
              <w:spacing w:line="240" w:lineRule="exact"/>
              <w:contextualSpacing/>
              <w:jc w:val="center"/>
              <w:rPr>
                <w:rFonts w:ascii="仿宋" w:hAnsi="仿宋" w:eastAsia="仿宋"/>
                <w:sz w:val="24"/>
              </w:rPr>
            </w:pPr>
          </w:p>
        </w:tc>
        <w:tc>
          <w:tcPr>
            <w:tcW w:w="1701" w:type="dxa"/>
            <w:gridSpan w:val="2"/>
            <w:vMerge w:val="continue"/>
            <w:tcBorders>
              <w:left w:val="single" w:color="auto" w:sz="4" w:space="0"/>
              <w:right w:val="single" w:color="auto" w:sz="4" w:space="0"/>
            </w:tcBorders>
            <w:vAlign w:val="center"/>
          </w:tcPr>
          <w:p>
            <w:pPr>
              <w:spacing w:line="240" w:lineRule="exact"/>
              <w:contextualSpacing/>
              <w:rPr>
                <w:rFonts w:ascii="仿宋" w:hAnsi="仿宋" w:eastAsia="仿宋"/>
                <w:sz w:val="24"/>
              </w:rPr>
            </w:pPr>
          </w:p>
        </w:tc>
        <w:tc>
          <w:tcPr>
            <w:tcW w:w="1276" w:type="dxa"/>
            <w:tcBorders>
              <w:left w:val="single" w:color="auto" w:sz="4" w:space="0"/>
              <w:right w:val="single" w:color="auto" w:sz="4" w:space="0"/>
            </w:tcBorders>
            <w:vAlign w:val="center"/>
          </w:tcPr>
          <w:p>
            <w:pPr>
              <w:spacing w:line="240" w:lineRule="exact"/>
              <w:contextualSpacing/>
              <w:jc w:val="center"/>
              <w:rPr>
                <w:rFonts w:ascii="仿宋" w:hAnsi="仿宋" w:eastAsia="仿宋"/>
                <w:sz w:val="24"/>
              </w:rPr>
            </w:pPr>
            <w:r>
              <w:rPr>
                <w:rFonts w:hint="eastAsia" w:ascii="仿宋" w:hAnsi="仿宋" w:eastAsia="仿宋"/>
                <w:sz w:val="24"/>
              </w:rPr>
              <w:t>账号</w:t>
            </w:r>
          </w:p>
        </w:tc>
        <w:tc>
          <w:tcPr>
            <w:tcW w:w="2698" w:type="dxa"/>
            <w:tcBorders>
              <w:left w:val="single" w:color="auto" w:sz="4" w:space="0"/>
            </w:tcBorders>
            <w:vAlign w:val="center"/>
          </w:tcPr>
          <w:p>
            <w:pPr>
              <w:spacing w:line="240" w:lineRule="exact"/>
              <w:contextualSpacing/>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346" w:hRule="atLeast"/>
          <w:jc w:val="center"/>
        </w:trPr>
        <w:tc>
          <w:tcPr>
            <w:tcW w:w="1696" w:type="dxa"/>
            <w:vMerge w:val="continue"/>
            <w:vAlign w:val="center"/>
          </w:tcPr>
          <w:p>
            <w:pPr>
              <w:spacing w:line="240" w:lineRule="exact"/>
              <w:contextualSpacing/>
              <w:jc w:val="center"/>
              <w:rPr>
                <w:rFonts w:ascii="仿宋" w:hAnsi="仿宋" w:eastAsia="仿宋"/>
                <w:sz w:val="24"/>
              </w:rPr>
            </w:pPr>
          </w:p>
        </w:tc>
        <w:tc>
          <w:tcPr>
            <w:tcW w:w="1985" w:type="dxa"/>
            <w:gridSpan w:val="2"/>
            <w:vMerge w:val="continue"/>
            <w:tcBorders>
              <w:right w:val="single" w:color="auto" w:sz="4" w:space="0"/>
            </w:tcBorders>
            <w:vAlign w:val="center"/>
          </w:tcPr>
          <w:p>
            <w:pPr>
              <w:spacing w:line="240" w:lineRule="exact"/>
              <w:contextualSpacing/>
              <w:jc w:val="center"/>
              <w:rPr>
                <w:rFonts w:ascii="仿宋" w:hAnsi="仿宋" w:eastAsia="仿宋"/>
                <w:sz w:val="24"/>
              </w:rPr>
            </w:pPr>
          </w:p>
        </w:tc>
        <w:tc>
          <w:tcPr>
            <w:tcW w:w="1701" w:type="dxa"/>
            <w:gridSpan w:val="2"/>
            <w:vMerge w:val="restart"/>
            <w:tcBorders>
              <w:left w:val="single" w:color="auto" w:sz="4" w:space="0"/>
              <w:right w:val="single" w:color="auto" w:sz="4" w:space="0"/>
            </w:tcBorders>
            <w:vAlign w:val="center"/>
          </w:tcPr>
          <w:p>
            <w:pPr>
              <w:spacing w:line="240" w:lineRule="exact"/>
              <w:contextualSpacing/>
              <w:rPr>
                <w:rFonts w:ascii="仿宋" w:hAnsi="仿宋" w:eastAsia="仿宋"/>
                <w:sz w:val="24"/>
              </w:rPr>
            </w:pPr>
            <w:r>
              <w:rPr>
                <w:rFonts w:hint="eastAsia" w:ascii="仿宋" w:hAnsi="仿宋" w:eastAsia="仿宋"/>
                <w:sz w:val="24"/>
              </w:rPr>
              <w:t>指定商业</w:t>
            </w:r>
            <w:r>
              <w:rPr>
                <w:rFonts w:ascii="仿宋" w:hAnsi="仿宋" w:eastAsia="仿宋"/>
                <w:sz w:val="24"/>
              </w:rPr>
              <w:t>银行账户信息</w:t>
            </w:r>
            <w:r>
              <w:rPr>
                <w:rFonts w:hint="eastAsia" w:ascii="仿宋" w:hAnsi="仿宋" w:eastAsia="仿宋"/>
              </w:rPr>
              <w:t>（适用于无大额支付系统清算账户的机构）</w:t>
            </w:r>
          </w:p>
        </w:tc>
        <w:tc>
          <w:tcPr>
            <w:tcW w:w="1276" w:type="dxa"/>
            <w:tcBorders>
              <w:left w:val="single" w:color="auto" w:sz="4" w:space="0"/>
              <w:right w:val="single" w:color="auto" w:sz="4" w:space="0"/>
            </w:tcBorders>
            <w:vAlign w:val="center"/>
          </w:tcPr>
          <w:p>
            <w:pPr>
              <w:spacing w:line="240" w:lineRule="exact"/>
              <w:contextualSpacing/>
              <w:jc w:val="center"/>
              <w:rPr>
                <w:rFonts w:ascii="仿宋" w:hAnsi="仿宋" w:eastAsia="仿宋"/>
                <w:sz w:val="24"/>
              </w:rPr>
            </w:pPr>
            <w:r>
              <w:rPr>
                <w:rFonts w:hint="eastAsia" w:ascii="仿宋" w:hAnsi="仿宋" w:eastAsia="仿宋"/>
                <w:sz w:val="24"/>
              </w:rPr>
              <w:t>户名</w:t>
            </w:r>
          </w:p>
        </w:tc>
        <w:tc>
          <w:tcPr>
            <w:tcW w:w="2698" w:type="dxa"/>
            <w:tcBorders>
              <w:left w:val="single" w:color="auto" w:sz="4" w:space="0"/>
            </w:tcBorders>
            <w:vAlign w:val="center"/>
          </w:tcPr>
          <w:p>
            <w:pPr>
              <w:spacing w:line="240" w:lineRule="exact"/>
              <w:contextualSpacing/>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346" w:hRule="atLeast"/>
          <w:jc w:val="center"/>
        </w:trPr>
        <w:tc>
          <w:tcPr>
            <w:tcW w:w="1696" w:type="dxa"/>
            <w:vMerge w:val="continue"/>
            <w:vAlign w:val="center"/>
          </w:tcPr>
          <w:p>
            <w:pPr>
              <w:spacing w:line="240" w:lineRule="exact"/>
              <w:contextualSpacing/>
              <w:jc w:val="center"/>
              <w:rPr>
                <w:rFonts w:ascii="仿宋" w:hAnsi="仿宋" w:eastAsia="仿宋"/>
                <w:sz w:val="24"/>
              </w:rPr>
            </w:pPr>
          </w:p>
        </w:tc>
        <w:tc>
          <w:tcPr>
            <w:tcW w:w="1985" w:type="dxa"/>
            <w:gridSpan w:val="2"/>
            <w:vMerge w:val="continue"/>
            <w:tcBorders>
              <w:right w:val="single" w:color="auto" w:sz="4" w:space="0"/>
            </w:tcBorders>
            <w:vAlign w:val="center"/>
          </w:tcPr>
          <w:p>
            <w:pPr>
              <w:spacing w:line="240" w:lineRule="exact"/>
              <w:contextualSpacing/>
              <w:jc w:val="center"/>
              <w:rPr>
                <w:rFonts w:ascii="仿宋" w:hAnsi="仿宋" w:eastAsia="仿宋"/>
                <w:sz w:val="24"/>
              </w:rPr>
            </w:pPr>
          </w:p>
        </w:tc>
        <w:tc>
          <w:tcPr>
            <w:tcW w:w="1701" w:type="dxa"/>
            <w:gridSpan w:val="2"/>
            <w:vMerge w:val="continue"/>
            <w:tcBorders>
              <w:left w:val="single" w:color="auto" w:sz="4" w:space="0"/>
              <w:right w:val="single" w:color="auto" w:sz="4" w:space="0"/>
            </w:tcBorders>
            <w:vAlign w:val="center"/>
          </w:tcPr>
          <w:p>
            <w:pPr>
              <w:spacing w:line="240" w:lineRule="exact"/>
              <w:contextualSpacing/>
              <w:jc w:val="center"/>
              <w:rPr>
                <w:rFonts w:ascii="仿宋" w:hAnsi="仿宋" w:eastAsia="仿宋"/>
                <w:sz w:val="24"/>
              </w:rPr>
            </w:pPr>
          </w:p>
        </w:tc>
        <w:tc>
          <w:tcPr>
            <w:tcW w:w="1276" w:type="dxa"/>
            <w:tcBorders>
              <w:left w:val="single" w:color="auto" w:sz="4" w:space="0"/>
              <w:right w:val="single" w:color="auto" w:sz="4" w:space="0"/>
            </w:tcBorders>
            <w:vAlign w:val="center"/>
          </w:tcPr>
          <w:p>
            <w:pPr>
              <w:spacing w:line="240" w:lineRule="exact"/>
              <w:contextualSpacing/>
              <w:jc w:val="center"/>
              <w:rPr>
                <w:rFonts w:ascii="仿宋" w:hAnsi="仿宋" w:eastAsia="仿宋"/>
                <w:sz w:val="24"/>
              </w:rPr>
            </w:pPr>
            <w:r>
              <w:rPr>
                <w:rFonts w:hint="eastAsia" w:ascii="仿宋" w:hAnsi="仿宋" w:eastAsia="仿宋"/>
                <w:sz w:val="24"/>
              </w:rPr>
              <w:t>行号</w:t>
            </w:r>
          </w:p>
        </w:tc>
        <w:tc>
          <w:tcPr>
            <w:tcW w:w="2698" w:type="dxa"/>
            <w:tcBorders>
              <w:left w:val="single" w:color="auto" w:sz="4" w:space="0"/>
            </w:tcBorders>
            <w:vAlign w:val="center"/>
          </w:tcPr>
          <w:p>
            <w:pPr>
              <w:spacing w:line="240" w:lineRule="exact"/>
              <w:contextualSpacing/>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346" w:hRule="atLeast"/>
          <w:jc w:val="center"/>
        </w:trPr>
        <w:tc>
          <w:tcPr>
            <w:tcW w:w="1696" w:type="dxa"/>
            <w:vMerge w:val="continue"/>
            <w:vAlign w:val="center"/>
          </w:tcPr>
          <w:p>
            <w:pPr>
              <w:spacing w:line="240" w:lineRule="exact"/>
              <w:contextualSpacing/>
              <w:jc w:val="center"/>
              <w:rPr>
                <w:rFonts w:ascii="仿宋" w:hAnsi="仿宋" w:eastAsia="仿宋"/>
                <w:sz w:val="24"/>
              </w:rPr>
            </w:pPr>
          </w:p>
        </w:tc>
        <w:tc>
          <w:tcPr>
            <w:tcW w:w="1985" w:type="dxa"/>
            <w:gridSpan w:val="2"/>
            <w:vMerge w:val="continue"/>
            <w:tcBorders>
              <w:right w:val="single" w:color="auto" w:sz="4" w:space="0"/>
            </w:tcBorders>
            <w:vAlign w:val="center"/>
          </w:tcPr>
          <w:p>
            <w:pPr>
              <w:spacing w:line="240" w:lineRule="exact"/>
              <w:contextualSpacing/>
              <w:jc w:val="center"/>
              <w:rPr>
                <w:rFonts w:ascii="仿宋" w:hAnsi="仿宋" w:eastAsia="仿宋"/>
                <w:sz w:val="24"/>
              </w:rPr>
            </w:pPr>
          </w:p>
        </w:tc>
        <w:tc>
          <w:tcPr>
            <w:tcW w:w="1701" w:type="dxa"/>
            <w:gridSpan w:val="2"/>
            <w:vMerge w:val="continue"/>
            <w:tcBorders>
              <w:left w:val="single" w:color="auto" w:sz="4" w:space="0"/>
              <w:right w:val="single" w:color="auto" w:sz="4" w:space="0"/>
            </w:tcBorders>
            <w:vAlign w:val="center"/>
          </w:tcPr>
          <w:p>
            <w:pPr>
              <w:spacing w:line="240" w:lineRule="exact"/>
              <w:contextualSpacing/>
              <w:jc w:val="center"/>
              <w:rPr>
                <w:rFonts w:ascii="仿宋" w:hAnsi="仿宋" w:eastAsia="仿宋"/>
                <w:sz w:val="24"/>
              </w:rPr>
            </w:pPr>
          </w:p>
        </w:tc>
        <w:tc>
          <w:tcPr>
            <w:tcW w:w="1276" w:type="dxa"/>
            <w:tcBorders>
              <w:left w:val="single" w:color="auto" w:sz="4" w:space="0"/>
              <w:right w:val="single" w:color="auto" w:sz="4" w:space="0"/>
            </w:tcBorders>
            <w:vAlign w:val="center"/>
          </w:tcPr>
          <w:p>
            <w:pPr>
              <w:spacing w:line="240" w:lineRule="exact"/>
              <w:contextualSpacing/>
              <w:jc w:val="center"/>
              <w:rPr>
                <w:rFonts w:ascii="仿宋" w:hAnsi="仿宋" w:eastAsia="仿宋"/>
                <w:sz w:val="24"/>
              </w:rPr>
            </w:pPr>
            <w:r>
              <w:rPr>
                <w:rFonts w:hint="eastAsia" w:ascii="仿宋" w:hAnsi="仿宋" w:eastAsia="仿宋"/>
                <w:sz w:val="24"/>
              </w:rPr>
              <w:t>账号</w:t>
            </w:r>
          </w:p>
        </w:tc>
        <w:tc>
          <w:tcPr>
            <w:tcW w:w="2698" w:type="dxa"/>
            <w:tcBorders>
              <w:left w:val="single" w:color="auto" w:sz="4" w:space="0"/>
            </w:tcBorders>
            <w:vAlign w:val="center"/>
          </w:tcPr>
          <w:p>
            <w:pPr>
              <w:spacing w:line="240" w:lineRule="exact"/>
              <w:contextualSpacing/>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346" w:hRule="atLeast"/>
          <w:jc w:val="center"/>
        </w:trPr>
        <w:tc>
          <w:tcPr>
            <w:tcW w:w="1696" w:type="dxa"/>
            <w:tcBorders>
              <w:top w:val="single" w:color="auto" w:sz="4" w:space="0"/>
            </w:tcBorders>
            <w:vAlign w:val="center"/>
          </w:tcPr>
          <w:p>
            <w:pPr>
              <w:spacing w:line="240" w:lineRule="exact"/>
              <w:contextualSpacing/>
              <w:jc w:val="center"/>
              <w:rPr>
                <w:rFonts w:ascii="仿宋" w:hAnsi="仿宋" w:eastAsia="仿宋"/>
                <w:sz w:val="24"/>
              </w:rPr>
            </w:pPr>
            <w:r>
              <w:rPr>
                <w:rFonts w:ascii="仿宋" w:hAnsi="仿宋" w:eastAsia="仿宋"/>
                <w:sz w:val="24"/>
              </w:rPr>
              <w:t>联系人</w:t>
            </w:r>
          </w:p>
        </w:tc>
        <w:tc>
          <w:tcPr>
            <w:tcW w:w="2391" w:type="dxa"/>
            <w:gridSpan w:val="3"/>
            <w:tcBorders>
              <w:top w:val="single" w:color="auto" w:sz="4" w:space="0"/>
            </w:tcBorders>
            <w:vAlign w:val="center"/>
          </w:tcPr>
          <w:p>
            <w:pPr>
              <w:spacing w:line="240" w:lineRule="exact"/>
              <w:contextualSpacing/>
              <w:jc w:val="center"/>
              <w:rPr>
                <w:rFonts w:ascii="仿宋" w:hAnsi="仿宋" w:eastAsia="仿宋"/>
                <w:sz w:val="24"/>
              </w:rPr>
            </w:pPr>
          </w:p>
        </w:tc>
        <w:tc>
          <w:tcPr>
            <w:tcW w:w="2571" w:type="dxa"/>
            <w:gridSpan w:val="2"/>
            <w:tcBorders>
              <w:top w:val="single" w:color="auto" w:sz="4" w:space="0"/>
            </w:tcBorders>
            <w:vAlign w:val="center"/>
          </w:tcPr>
          <w:p>
            <w:pPr>
              <w:spacing w:line="240" w:lineRule="exact"/>
              <w:contextualSpacing/>
              <w:jc w:val="center"/>
              <w:rPr>
                <w:rFonts w:ascii="仿宋" w:hAnsi="仿宋" w:eastAsia="仿宋"/>
                <w:sz w:val="24"/>
              </w:rPr>
            </w:pPr>
            <w:r>
              <w:rPr>
                <w:rFonts w:ascii="仿宋" w:hAnsi="仿宋" w:eastAsia="仿宋"/>
                <w:sz w:val="24"/>
              </w:rPr>
              <w:t>联系地址</w:t>
            </w:r>
          </w:p>
        </w:tc>
        <w:tc>
          <w:tcPr>
            <w:tcW w:w="2698" w:type="dxa"/>
            <w:tcBorders>
              <w:top w:val="single" w:color="auto" w:sz="4" w:space="0"/>
            </w:tcBorders>
            <w:vAlign w:val="center"/>
          </w:tcPr>
          <w:p>
            <w:pPr>
              <w:spacing w:line="240" w:lineRule="exact"/>
              <w:contextualSpacing/>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346" w:hRule="atLeast"/>
          <w:jc w:val="center"/>
        </w:trPr>
        <w:tc>
          <w:tcPr>
            <w:tcW w:w="1696" w:type="dxa"/>
            <w:vAlign w:val="center"/>
          </w:tcPr>
          <w:p>
            <w:pPr>
              <w:spacing w:line="240" w:lineRule="exact"/>
              <w:contextualSpacing/>
              <w:jc w:val="center"/>
              <w:rPr>
                <w:rFonts w:ascii="仿宋" w:hAnsi="仿宋" w:eastAsia="仿宋"/>
                <w:sz w:val="24"/>
              </w:rPr>
            </w:pPr>
            <w:r>
              <w:rPr>
                <w:rFonts w:ascii="仿宋" w:hAnsi="仿宋" w:eastAsia="仿宋"/>
                <w:sz w:val="24"/>
              </w:rPr>
              <w:t>联系电话</w:t>
            </w:r>
          </w:p>
        </w:tc>
        <w:tc>
          <w:tcPr>
            <w:tcW w:w="2391" w:type="dxa"/>
            <w:gridSpan w:val="3"/>
            <w:vAlign w:val="center"/>
          </w:tcPr>
          <w:p>
            <w:pPr>
              <w:spacing w:line="240" w:lineRule="exact"/>
              <w:contextualSpacing/>
              <w:jc w:val="center"/>
              <w:rPr>
                <w:rFonts w:ascii="仿宋" w:hAnsi="仿宋" w:eastAsia="仿宋"/>
                <w:sz w:val="24"/>
              </w:rPr>
            </w:pPr>
          </w:p>
        </w:tc>
        <w:tc>
          <w:tcPr>
            <w:tcW w:w="2571" w:type="dxa"/>
            <w:gridSpan w:val="2"/>
            <w:vAlign w:val="center"/>
          </w:tcPr>
          <w:p>
            <w:pPr>
              <w:spacing w:line="240" w:lineRule="exact"/>
              <w:contextualSpacing/>
              <w:jc w:val="center"/>
              <w:rPr>
                <w:rFonts w:ascii="仿宋" w:hAnsi="仿宋" w:eastAsia="仿宋"/>
                <w:sz w:val="24"/>
              </w:rPr>
            </w:pPr>
            <w:r>
              <w:rPr>
                <w:rFonts w:ascii="仿宋" w:hAnsi="仿宋" w:eastAsia="仿宋"/>
                <w:sz w:val="24"/>
              </w:rPr>
              <w:t>邮编</w:t>
            </w:r>
          </w:p>
        </w:tc>
        <w:tc>
          <w:tcPr>
            <w:tcW w:w="2698" w:type="dxa"/>
            <w:vAlign w:val="center"/>
          </w:tcPr>
          <w:p>
            <w:pPr>
              <w:spacing w:line="240" w:lineRule="exact"/>
              <w:contextualSpacing/>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346" w:hRule="atLeast"/>
          <w:jc w:val="center"/>
        </w:trPr>
        <w:tc>
          <w:tcPr>
            <w:tcW w:w="1696" w:type="dxa"/>
            <w:vMerge w:val="restart"/>
            <w:vAlign w:val="center"/>
          </w:tcPr>
          <w:p>
            <w:pPr>
              <w:spacing w:line="240" w:lineRule="exact"/>
              <w:contextualSpacing/>
              <w:jc w:val="center"/>
              <w:rPr>
                <w:rFonts w:ascii="仿宋" w:hAnsi="仿宋" w:eastAsia="仿宋"/>
                <w:sz w:val="24"/>
              </w:rPr>
            </w:pPr>
            <w:r>
              <w:rPr>
                <w:rFonts w:hint="eastAsia" w:ascii="仿宋" w:hAnsi="仿宋" w:eastAsia="仿宋"/>
                <w:sz w:val="24"/>
              </w:rPr>
              <w:t>□法定代表人</w:t>
            </w:r>
          </w:p>
          <w:p>
            <w:pPr>
              <w:spacing w:line="240" w:lineRule="exact"/>
              <w:contextualSpacing/>
              <w:jc w:val="center"/>
              <w:rPr>
                <w:rFonts w:ascii="仿宋" w:hAnsi="仿宋" w:eastAsia="仿宋"/>
                <w:sz w:val="24"/>
              </w:rPr>
            </w:pPr>
            <w:r>
              <w:rPr>
                <w:rFonts w:hint="eastAsia" w:ascii="仿宋" w:hAnsi="仿宋" w:eastAsia="仿宋"/>
                <w:sz w:val="24"/>
              </w:rPr>
              <w:t>□机构负责人</w:t>
            </w:r>
          </w:p>
        </w:tc>
        <w:tc>
          <w:tcPr>
            <w:tcW w:w="1507" w:type="dxa"/>
            <w:vAlign w:val="center"/>
          </w:tcPr>
          <w:p>
            <w:pPr>
              <w:spacing w:line="240" w:lineRule="exact"/>
              <w:contextualSpacing/>
              <w:jc w:val="center"/>
              <w:rPr>
                <w:rFonts w:ascii="仿宋" w:hAnsi="仿宋" w:eastAsia="仿宋"/>
                <w:sz w:val="24"/>
              </w:rPr>
            </w:pPr>
            <w:r>
              <w:rPr>
                <w:rFonts w:hint="eastAsia" w:ascii="仿宋" w:hAnsi="仿宋" w:eastAsia="仿宋"/>
                <w:sz w:val="24"/>
              </w:rPr>
              <w:t>姓名</w:t>
            </w:r>
          </w:p>
        </w:tc>
        <w:tc>
          <w:tcPr>
            <w:tcW w:w="6153" w:type="dxa"/>
            <w:gridSpan w:val="5"/>
            <w:vAlign w:val="center"/>
          </w:tcPr>
          <w:p>
            <w:pPr>
              <w:spacing w:line="240" w:lineRule="exact"/>
              <w:contextualSpacing/>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346" w:hRule="atLeast"/>
          <w:jc w:val="center"/>
        </w:trPr>
        <w:tc>
          <w:tcPr>
            <w:tcW w:w="1696" w:type="dxa"/>
            <w:vMerge w:val="continue"/>
            <w:vAlign w:val="center"/>
          </w:tcPr>
          <w:p>
            <w:pPr>
              <w:spacing w:line="240" w:lineRule="exact"/>
              <w:contextualSpacing/>
              <w:jc w:val="center"/>
              <w:rPr>
                <w:rFonts w:ascii="仿宋" w:hAnsi="仿宋" w:eastAsia="仿宋"/>
                <w:sz w:val="24"/>
              </w:rPr>
            </w:pPr>
          </w:p>
        </w:tc>
        <w:tc>
          <w:tcPr>
            <w:tcW w:w="1507" w:type="dxa"/>
            <w:vAlign w:val="center"/>
          </w:tcPr>
          <w:p>
            <w:pPr>
              <w:spacing w:line="240" w:lineRule="exact"/>
              <w:contextualSpacing/>
              <w:jc w:val="center"/>
              <w:rPr>
                <w:rFonts w:ascii="仿宋" w:hAnsi="仿宋" w:eastAsia="仿宋"/>
                <w:sz w:val="24"/>
              </w:rPr>
            </w:pPr>
            <w:r>
              <w:rPr>
                <w:rFonts w:hint="eastAsia" w:ascii="仿宋" w:hAnsi="仿宋" w:eastAsia="仿宋"/>
                <w:sz w:val="24"/>
              </w:rPr>
              <w:t>证件种类</w:t>
            </w:r>
          </w:p>
        </w:tc>
        <w:tc>
          <w:tcPr>
            <w:tcW w:w="2179" w:type="dxa"/>
            <w:gridSpan w:val="3"/>
            <w:vAlign w:val="center"/>
          </w:tcPr>
          <w:p>
            <w:pPr>
              <w:spacing w:line="240" w:lineRule="exact"/>
              <w:contextualSpacing/>
              <w:jc w:val="center"/>
              <w:rPr>
                <w:rFonts w:ascii="仿宋" w:hAnsi="仿宋" w:eastAsia="仿宋"/>
                <w:sz w:val="24"/>
              </w:rPr>
            </w:pPr>
          </w:p>
        </w:tc>
        <w:tc>
          <w:tcPr>
            <w:tcW w:w="1276" w:type="dxa"/>
            <w:vAlign w:val="center"/>
          </w:tcPr>
          <w:p>
            <w:pPr>
              <w:spacing w:line="240" w:lineRule="exact"/>
              <w:contextualSpacing/>
              <w:jc w:val="center"/>
              <w:rPr>
                <w:rFonts w:ascii="仿宋" w:hAnsi="仿宋" w:eastAsia="仿宋"/>
                <w:sz w:val="24"/>
              </w:rPr>
            </w:pPr>
            <w:r>
              <w:rPr>
                <w:rFonts w:hint="eastAsia" w:ascii="仿宋" w:hAnsi="仿宋" w:eastAsia="仿宋"/>
                <w:sz w:val="24"/>
              </w:rPr>
              <w:t>证件号码</w:t>
            </w:r>
          </w:p>
        </w:tc>
        <w:tc>
          <w:tcPr>
            <w:tcW w:w="2698" w:type="dxa"/>
            <w:vAlign w:val="center"/>
          </w:tcPr>
          <w:p>
            <w:pPr>
              <w:spacing w:line="240" w:lineRule="exact"/>
              <w:contextualSpacing/>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3911" w:hRule="atLeast"/>
          <w:jc w:val="center"/>
        </w:trPr>
        <w:tc>
          <w:tcPr>
            <w:tcW w:w="9356" w:type="dxa"/>
            <w:gridSpan w:val="7"/>
            <w:vAlign w:val="center"/>
          </w:tcPr>
          <w:p>
            <w:pPr>
              <w:tabs>
                <w:tab w:val="center" w:pos="4153"/>
                <w:tab w:val="right" w:pos="8306"/>
              </w:tabs>
              <w:snapToGrid w:val="0"/>
              <w:spacing w:line="240" w:lineRule="exact"/>
              <w:contextualSpacing/>
              <w:rPr>
                <w:rFonts w:ascii="仿宋" w:hAnsi="仿宋" w:eastAsia="仿宋"/>
                <w:kern w:val="0"/>
                <w:sz w:val="24"/>
                <w:szCs w:val="24"/>
              </w:rPr>
            </w:pPr>
            <w:r>
              <w:rPr>
                <w:rFonts w:ascii="仿宋" w:hAnsi="仿宋" w:eastAsia="仿宋"/>
                <w:sz w:val="24"/>
                <w:szCs w:val="24"/>
              </w:rPr>
              <w:t xml:space="preserve">  </w:t>
            </w:r>
            <w:r>
              <w:rPr>
                <w:rFonts w:ascii="仿宋" w:hAnsi="仿宋" w:eastAsia="仿宋"/>
                <w:kern w:val="0"/>
                <w:sz w:val="24"/>
                <w:szCs w:val="24"/>
              </w:rPr>
              <w:t xml:space="preserve">  </w:t>
            </w:r>
            <w:r>
              <w:rPr>
                <w:rFonts w:hint="eastAsia" w:ascii="仿宋" w:hAnsi="仿宋" w:eastAsia="仿宋"/>
                <w:kern w:val="0"/>
                <w:sz w:val="24"/>
                <w:szCs w:val="24"/>
              </w:rPr>
              <w:t>本机构</w:t>
            </w:r>
            <w:r>
              <w:rPr>
                <w:rFonts w:ascii="仿宋" w:hAnsi="仿宋" w:eastAsia="仿宋"/>
                <w:kern w:val="0"/>
                <w:sz w:val="24"/>
                <w:szCs w:val="24"/>
              </w:rPr>
              <w:t>申请</w:t>
            </w:r>
            <w:r>
              <w:rPr>
                <w:rFonts w:hint="eastAsia" w:ascii="仿宋" w:hAnsi="仿宋" w:eastAsia="仿宋"/>
                <w:kern w:val="0"/>
                <w:sz w:val="24"/>
                <w:szCs w:val="24"/>
              </w:rPr>
              <w:t>指定大额</w:t>
            </w:r>
            <w:r>
              <w:rPr>
                <w:rFonts w:ascii="仿宋" w:hAnsi="仿宋" w:eastAsia="仿宋"/>
                <w:kern w:val="0"/>
                <w:sz w:val="24"/>
                <w:szCs w:val="24"/>
              </w:rPr>
              <w:t>支付系统清算账户</w:t>
            </w:r>
            <w:r>
              <w:rPr>
                <w:rFonts w:hint="eastAsia" w:ascii="仿宋" w:hAnsi="仿宋" w:eastAsia="仿宋"/>
                <w:kern w:val="0"/>
                <w:sz w:val="24"/>
                <w:szCs w:val="24"/>
              </w:rPr>
              <w:t>或</w:t>
            </w:r>
            <w:r>
              <w:rPr>
                <w:rFonts w:ascii="仿宋" w:hAnsi="仿宋" w:eastAsia="仿宋"/>
                <w:kern w:val="0"/>
                <w:sz w:val="24"/>
                <w:szCs w:val="24"/>
              </w:rPr>
              <w:t>在贵公司开立资金结算专户</w:t>
            </w:r>
            <w:r>
              <w:rPr>
                <w:rFonts w:hint="eastAsia" w:ascii="仿宋" w:hAnsi="仿宋" w:eastAsia="仿宋"/>
                <w:kern w:val="0"/>
                <w:sz w:val="24"/>
                <w:szCs w:val="24"/>
              </w:rPr>
              <w:t>作为资金结算账户</w:t>
            </w:r>
            <w:r>
              <w:rPr>
                <w:rFonts w:ascii="仿宋" w:hAnsi="仿宋" w:eastAsia="仿宋"/>
                <w:kern w:val="0"/>
                <w:sz w:val="24"/>
                <w:szCs w:val="24"/>
              </w:rPr>
              <w:t>，并作如下授权：</w:t>
            </w:r>
          </w:p>
          <w:p>
            <w:pPr>
              <w:tabs>
                <w:tab w:val="center" w:pos="4153"/>
                <w:tab w:val="right" w:pos="8306"/>
              </w:tabs>
              <w:snapToGrid w:val="0"/>
              <w:spacing w:line="240" w:lineRule="exact"/>
              <w:contextualSpacing/>
              <w:rPr>
                <w:rFonts w:ascii="仿宋" w:hAnsi="仿宋" w:eastAsia="仿宋"/>
                <w:kern w:val="0"/>
                <w:sz w:val="24"/>
                <w:szCs w:val="24"/>
              </w:rPr>
            </w:pPr>
            <w:r>
              <w:rPr>
                <w:rFonts w:ascii="仿宋" w:hAnsi="仿宋" w:eastAsia="仿宋"/>
                <w:kern w:val="0"/>
                <w:sz w:val="24"/>
                <w:szCs w:val="24"/>
              </w:rPr>
              <w:t xml:space="preserve">    1</w:t>
            </w:r>
            <w:r>
              <w:rPr>
                <w:rFonts w:hAnsi="仿宋" w:cs="Times New Roman"/>
              </w:rPr>
              <w:t>．</w:t>
            </w:r>
            <w:r>
              <w:rPr>
                <w:rFonts w:ascii="仿宋" w:hAnsi="仿宋" w:eastAsia="仿宋"/>
                <w:kern w:val="0"/>
                <w:sz w:val="24"/>
                <w:szCs w:val="24"/>
              </w:rPr>
              <w:t>授权贵公司根据清算结果，在</w:t>
            </w:r>
            <w:r>
              <w:rPr>
                <w:rFonts w:hint="eastAsia" w:ascii="仿宋" w:hAnsi="仿宋" w:eastAsia="仿宋"/>
                <w:kern w:val="0"/>
                <w:sz w:val="24"/>
                <w:szCs w:val="24"/>
              </w:rPr>
              <w:t>本机构</w:t>
            </w:r>
            <w:r>
              <w:rPr>
                <w:rFonts w:ascii="仿宋" w:hAnsi="仿宋" w:eastAsia="仿宋"/>
                <w:kern w:val="0"/>
                <w:sz w:val="24"/>
                <w:szCs w:val="24"/>
              </w:rPr>
              <w:t>资金结算账户进行直接借记或贷记处理；</w:t>
            </w:r>
          </w:p>
          <w:p>
            <w:pPr>
              <w:tabs>
                <w:tab w:val="center" w:pos="4153"/>
                <w:tab w:val="right" w:pos="8306"/>
              </w:tabs>
              <w:snapToGrid w:val="0"/>
              <w:spacing w:line="240" w:lineRule="exact"/>
              <w:ind w:firstLine="480" w:firstLineChars="200"/>
              <w:contextualSpacing/>
              <w:rPr>
                <w:rFonts w:ascii="仿宋" w:hAnsi="仿宋" w:eastAsia="仿宋"/>
                <w:kern w:val="0"/>
                <w:sz w:val="24"/>
                <w:szCs w:val="24"/>
              </w:rPr>
            </w:pPr>
            <w:r>
              <w:rPr>
                <w:rFonts w:ascii="仿宋" w:hAnsi="仿宋" w:eastAsia="仿宋"/>
                <w:kern w:val="0"/>
                <w:sz w:val="24"/>
                <w:szCs w:val="24"/>
              </w:rPr>
              <w:t>2</w:t>
            </w:r>
            <w:r>
              <w:rPr>
                <w:rFonts w:hAnsi="仿宋" w:cs="Times New Roman"/>
              </w:rPr>
              <w:t>．</w:t>
            </w:r>
            <w:r>
              <w:rPr>
                <w:rFonts w:ascii="仿宋" w:hAnsi="仿宋" w:eastAsia="仿宋"/>
                <w:kern w:val="0"/>
                <w:sz w:val="24"/>
                <w:szCs w:val="24"/>
              </w:rPr>
              <w:t>授权贵公司可直接通过</w:t>
            </w:r>
            <w:r>
              <w:rPr>
                <w:rFonts w:hint="eastAsia" w:ascii="仿宋" w:hAnsi="仿宋" w:eastAsia="仿宋"/>
                <w:kern w:val="0"/>
                <w:sz w:val="24"/>
                <w:szCs w:val="24"/>
              </w:rPr>
              <w:t>本机构</w:t>
            </w:r>
            <w:r>
              <w:rPr>
                <w:rFonts w:ascii="仿宋" w:hAnsi="仿宋" w:eastAsia="仿宋"/>
                <w:kern w:val="0"/>
                <w:sz w:val="24"/>
                <w:szCs w:val="24"/>
              </w:rPr>
              <w:t>资金结算账户直接扣收</w:t>
            </w:r>
            <w:r>
              <w:rPr>
                <w:rFonts w:hint="eastAsia" w:ascii="仿宋" w:hAnsi="仿宋" w:eastAsia="仿宋"/>
                <w:kern w:val="0"/>
                <w:sz w:val="24"/>
                <w:szCs w:val="24"/>
              </w:rPr>
              <w:t>本机构</w:t>
            </w:r>
            <w:r>
              <w:rPr>
                <w:rFonts w:ascii="仿宋" w:hAnsi="仿宋" w:eastAsia="仿宋"/>
                <w:kern w:val="0"/>
                <w:sz w:val="24"/>
                <w:szCs w:val="24"/>
              </w:rPr>
              <w:t>因</w:t>
            </w:r>
            <w:r>
              <w:rPr>
                <w:rFonts w:hint="eastAsia" w:ascii="仿宋" w:hAnsi="仿宋" w:eastAsia="仿宋"/>
                <w:sz w:val="24"/>
                <w:szCs w:val="24"/>
              </w:rPr>
              <w:t>大宗商品</w:t>
            </w:r>
            <w:r>
              <w:rPr>
                <w:rFonts w:ascii="仿宋" w:hAnsi="仿宋" w:eastAsia="仿宋"/>
                <w:sz w:val="24"/>
                <w:szCs w:val="24"/>
              </w:rPr>
              <w:t>现货清算业务</w:t>
            </w:r>
            <w:r>
              <w:rPr>
                <w:rFonts w:ascii="仿宋" w:hAnsi="仿宋" w:eastAsia="仿宋"/>
                <w:kern w:val="0"/>
                <w:sz w:val="24"/>
                <w:szCs w:val="24"/>
              </w:rPr>
              <w:t>产生的相关费用等；</w:t>
            </w:r>
          </w:p>
          <w:p>
            <w:pPr>
              <w:tabs>
                <w:tab w:val="center" w:pos="4153"/>
                <w:tab w:val="right" w:pos="8306"/>
              </w:tabs>
              <w:snapToGrid w:val="0"/>
              <w:spacing w:line="240" w:lineRule="exact"/>
              <w:ind w:firstLine="480" w:firstLineChars="200"/>
              <w:contextualSpacing/>
              <w:rPr>
                <w:rFonts w:ascii="仿宋" w:hAnsi="仿宋" w:eastAsia="仿宋"/>
                <w:kern w:val="0"/>
                <w:sz w:val="24"/>
                <w:szCs w:val="24"/>
              </w:rPr>
            </w:pPr>
            <w:r>
              <w:rPr>
                <w:rFonts w:ascii="仿宋" w:hAnsi="仿宋" w:eastAsia="仿宋"/>
                <w:kern w:val="0"/>
                <w:sz w:val="24"/>
                <w:szCs w:val="24"/>
              </w:rPr>
              <w:t>3</w:t>
            </w:r>
            <w:r>
              <w:rPr>
                <w:rFonts w:hAnsi="仿宋" w:cs="Times New Roman"/>
              </w:rPr>
              <w:t>．</w:t>
            </w:r>
            <w:r>
              <w:rPr>
                <w:rFonts w:ascii="仿宋" w:hAnsi="仿宋" w:eastAsia="仿宋"/>
                <w:kern w:val="0"/>
                <w:sz w:val="24"/>
                <w:szCs w:val="24"/>
              </w:rPr>
              <w:t>开立资金结算专户作为资金结算账户的，</w:t>
            </w:r>
            <w:r>
              <w:rPr>
                <w:rFonts w:hint="eastAsia" w:ascii="仿宋" w:hAnsi="仿宋" w:eastAsia="仿宋"/>
                <w:kern w:val="0"/>
                <w:sz w:val="24"/>
                <w:szCs w:val="24"/>
              </w:rPr>
              <w:t>本机构资金结算账户资金</w:t>
            </w:r>
            <w:r>
              <w:rPr>
                <w:rFonts w:ascii="仿宋" w:hAnsi="仿宋" w:eastAsia="仿宋"/>
                <w:kern w:val="0"/>
                <w:sz w:val="24"/>
                <w:szCs w:val="24"/>
              </w:rPr>
              <w:t>不足的，授权贵公司直接通过</w:t>
            </w:r>
            <w:r>
              <w:rPr>
                <w:rFonts w:hint="eastAsia" w:ascii="仿宋" w:hAnsi="仿宋" w:eastAsia="仿宋"/>
                <w:kern w:val="0"/>
                <w:sz w:val="24"/>
                <w:szCs w:val="24"/>
              </w:rPr>
              <w:t>本机构</w:t>
            </w:r>
            <w:r>
              <w:rPr>
                <w:rFonts w:ascii="仿宋" w:hAnsi="仿宋" w:eastAsia="仿宋"/>
                <w:kern w:val="0"/>
                <w:sz w:val="24"/>
                <w:szCs w:val="24"/>
              </w:rPr>
              <w:t>大额支付系统清算账户进行直接扣款处理；</w:t>
            </w:r>
          </w:p>
          <w:p>
            <w:pPr>
              <w:tabs>
                <w:tab w:val="center" w:pos="4153"/>
                <w:tab w:val="right" w:pos="8306"/>
              </w:tabs>
              <w:snapToGrid w:val="0"/>
              <w:spacing w:line="240" w:lineRule="exact"/>
              <w:ind w:firstLine="480" w:firstLineChars="200"/>
              <w:contextualSpacing/>
              <w:rPr>
                <w:rFonts w:ascii="仿宋" w:hAnsi="仿宋" w:eastAsia="仿宋"/>
                <w:sz w:val="24"/>
                <w:szCs w:val="24"/>
              </w:rPr>
            </w:pPr>
            <w:r>
              <w:rPr>
                <w:rFonts w:ascii="仿宋" w:hAnsi="仿宋" w:eastAsia="仿宋"/>
                <w:kern w:val="0"/>
                <w:sz w:val="24"/>
                <w:szCs w:val="24"/>
              </w:rPr>
              <w:t>4</w:t>
            </w:r>
            <w:r>
              <w:rPr>
                <w:rFonts w:hAnsi="仿宋" w:cs="Times New Roman"/>
              </w:rPr>
              <w:t>．</w:t>
            </w:r>
            <w:r>
              <w:rPr>
                <w:rFonts w:ascii="仿宋" w:hAnsi="仿宋" w:eastAsia="仿宋"/>
                <w:kern w:val="0"/>
                <w:sz w:val="24"/>
                <w:szCs w:val="24"/>
              </w:rPr>
              <w:t>开立资金结算专户作为资金结算账户的，指定</w:t>
            </w:r>
            <w:r>
              <w:rPr>
                <w:rFonts w:hint="eastAsia" w:ascii="仿宋" w:hAnsi="仿宋" w:eastAsia="仿宋"/>
                <w:kern w:val="0"/>
                <w:sz w:val="24"/>
                <w:szCs w:val="24"/>
              </w:rPr>
              <w:t>本机构</w:t>
            </w:r>
            <w:r>
              <w:rPr>
                <w:rFonts w:ascii="仿宋" w:hAnsi="仿宋" w:eastAsia="仿宋"/>
                <w:kern w:val="0"/>
                <w:sz w:val="24"/>
                <w:szCs w:val="24"/>
              </w:rPr>
              <w:t>上述账户为</w:t>
            </w:r>
            <w:r>
              <w:rPr>
                <w:rFonts w:hint="eastAsia" w:ascii="仿宋" w:hAnsi="仿宋" w:eastAsia="仿宋"/>
                <w:kern w:val="0"/>
                <w:sz w:val="24"/>
                <w:szCs w:val="24"/>
              </w:rPr>
              <w:t>本机构</w:t>
            </w:r>
            <w:r>
              <w:rPr>
                <w:rFonts w:hint="eastAsia" w:ascii="仿宋" w:hAnsi="仿宋" w:eastAsia="仿宋"/>
                <w:sz w:val="24"/>
                <w:szCs w:val="24"/>
              </w:rPr>
              <w:t>大宗商品</w:t>
            </w:r>
            <w:r>
              <w:rPr>
                <w:rFonts w:ascii="仿宋" w:hAnsi="仿宋" w:eastAsia="仿宋"/>
                <w:sz w:val="24"/>
                <w:szCs w:val="24"/>
              </w:rPr>
              <w:t>现货清算业务</w:t>
            </w:r>
            <w:r>
              <w:rPr>
                <w:rFonts w:ascii="仿宋" w:hAnsi="仿宋" w:eastAsia="仿宋"/>
                <w:kern w:val="0"/>
                <w:sz w:val="24"/>
                <w:szCs w:val="24"/>
              </w:rPr>
              <w:t>结算资金转账存入账户及提取结算资金的</w:t>
            </w:r>
            <w:r>
              <w:rPr>
                <w:rFonts w:hint="eastAsia" w:ascii="仿宋" w:hAnsi="仿宋" w:eastAsia="仿宋"/>
                <w:kern w:val="0"/>
                <w:sz w:val="24"/>
                <w:szCs w:val="24"/>
              </w:rPr>
              <w:t>提取</w:t>
            </w:r>
            <w:r>
              <w:rPr>
                <w:rFonts w:ascii="仿宋" w:hAnsi="仿宋" w:eastAsia="仿宋"/>
                <w:kern w:val="0"/>
                <w:sz w:val="24"/>
                <w:szCs w:val="24"/>
              </w:rPr>
              <w:t xml:space="preserve">账户。    </w:t>
            </w:r>
          </w:p>
          <w:p>
            <w:pPr>
              <w:spacing w:line="240" w:lineRule="exact"/>
              <w:contextualSpacing/>
              <w:rPr>
                <w:rFonts w:ascii="仿宋" w:hAnsi="仿宋" w:eastAsia="仿宋"/>
                <w:sz w:val="24"/>
                <w:szCs w:val="24"/>
              </w:rPr>
            </w:pPr>
          </w:p>
          <w:p>
            <w:pPr>
              <w:spacing w:line="240" w:lineRule="exact"/>
              <w:contextualSpacing/>
              <w:rPr>
                <w:rFonts w:ascii="仿宋" w:hAnsi="仿宋" w:eastAsia="仿宋"/>
                <w:sz w:val="24"/>
                <w:szCs w:val="24"/>
              </w:rPr>
            </w:pPr>
          </w:p>
          <w:p>
            <w:pPr>
              <w:spacing w:line="240" w:lineRule="exact"/>
              <w:contextualSpacing/>
              <w:rPr>
                <w:rFonts w:ascii="仿宋" w:hAnsi="仿宋" w:eastAsia="仿宋"/>
                <w:sz w:val="24"/>
                <w:szCs w:val="24"/>
              </w:rPr>
            </w:pPr>
          </w:p>
          <w:p>
            <w:pPr>
              <w:spacing w:line="240" w:lineRule="exact"/>
              <w:contextualSpacing/>
              <w:rPr>
                <w:rFonts w:ascii="仿宋" w:hAnsi="仿宋" w:eastAsia="仿宋"/>
                <w:sz w:val="24"/>
                <w:szCs w:val="24"/>
              </w:rPr>
            </w:pPr>
          </w:p>
          <w:p>
            <w:pPr>
              <w:spacing w:line="240" w:lineRule="exact"/>
              <w:ind w:firstLine="2880" w:firstLineChars="1200"/>
              <w:contextualSpacing/>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单位</w:t>
            </w:r>
            <w:r>
              <w:rPr>
                <w:rFonts w:ascii="仿宋" w:hAnsi="仿宋" w:eastAsia="仿宋"/>
                <w:sz w:val="24"/>
                <w:szCs w:val="24"/>
              </w:rPr>
              <w:t>公章</w:t>
            </w:r>
            <w:r>
              <w:rPr>
                <w:rFonts w:hint="eastAsia" w:ascii="仿宋" w:hAnsi="仿宋" w:eastAsia="仿宋"/>
                <w:sz w:val="24"/>
                <w:szCs w:val="24"/>
              </w:rPr>
              <w:t>：</w:t>
            </w:r>
          </w:p>
          <w:p>
            <w:pPr>
              <w:spacing w:line="240" w:lineRule="exact"/>
              <w:ind w:firstLine="2880" w:firstLineChars="1200"/>
              <w:contextualSpacing/>
              <w:rPr>
                <w:rFonts w:ascii="仿宋" w:hAnsi="仿宋" w:eastAsia="仿宋"/>
                <w:sz w:val="24"/>
                <w:szCs w:val="24"/>
              </w:rPr>
            </w:pPr>
          </w:p>
          <w:p>
            <w:pPr>
              <w:spacing w:line="240" w:lineRule="exact"/>
              <w:ind w:firstLine="2880" w:firstLineChars="1200"/>
              <w:contextualSpacing/>
              <w:rPr>
                <w:rFonts w:ascii="仿宋" w:hAnsi="仿宋" w:eastAsia="仿宋"/>
                <w:sz w:val="24"/>
                <w:szCs w:val="24"/>
              </w:rPr>
            </w:pPr>
            <w:r>
              <w:rPr>
                <w:rFonts w:ascii="仿宋" w:hAnsi="仿宋" w:eastAsia="仿宋"/>
                <w:sz w:val="24"/>
                <w:szCs w:val="24"/>
              </w:rPr>
              <w:t xml:space="preserve">     法定代表人或授权代表签章</w:t>
            </w:r>
            <w:r>
              <w:rPr>
                <w:rFonts w:hint="eastAsia" w:ascii="仿宋" w:hAnsi="仿宋" w:eastAsia="仿宋"/>
                <w:sz w:val="24"/>
                <w:szCs w:val="24"/>
              </w:rPr>
              <w:t>：</w:t>
            </w:r>
          </w:p>
          <w:p>
            <w:pPr>
              <w:spacing w:line="240" w:lineRule="exact"/>
              <w:ind w:left="5840" w:leftChars="2781" w:right="748" w:rightChars="356"/>
              <w:contextualSpacing/>
              <w:rPr>
                <w:rFonts w:ascii="仿宋" w:hAnsi="仿宋" w:eastAsia="仿宋"/>
                <w:sz w:val="24"/>
                <w:szCs w:val="24"/>
              </w:rPr>
            </w:pPr>
            <w:r>
              <w:rPr>
                <w:rFonts w:ascii="仿宋" w:hAnsi="仿宋" w:eastAsia="仿宋"/>
                <w:sz w:val="24"/>
                <w:szCs w:val="24"/>
              </w:rPr>
              <w:t xml:space="preserve">                                                                                                                    年     月     日</w:t>
            </w:r>
          </w:p>
        </w:tc>
      </w:tr>
    </w:tbl>
    <w:p>
      <w:pPr>
        <w:rPr>
          <w:rFonts w:ascii="仿宋" w:hAnsi="仿宋" w:eastAsia="仿宋"/>
          <w:sz w:val="24"/>
        </w:rPr>
      </w:pPr>
      <w:r>
        <w:rPr>
          <w:rFonts w:hint="eastAsia" w:ascii="仿宋" w:hAnsi="仿宋" w:eastAsia="仿宋"/>
          <w:sz w:val="24"/>
        </w:rPr>
        <w:t>开立资金结算专户作为资金结算账户的，以下栏目由上海清算所审核后填写：</w:t>
      </w:r>
    </w:p>
    <w:tbl>
      <w:tblPr>
        <w:tblStyle w:val="21"/>
        <w:tblW w:w="8784" w:type="dxa"/>
        <w:jc w:val="center"/>
        <w:tblInd w:w="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2638"/>
        <w:gridCol w:w="2268"/>
        <w:gridCol w:w="1276"/>
        <w:gridCol w:w="2602"/>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488" w:hRule="atLeast"/>
          <w:jc w:val="center"/>
        </w:trPr>
        <w:tc>
          <w:tcPr>
            <w:tcW w:w="2638" w:type="dxa"/>
            <w:vAlign w:val="center"/>
          </w:tcPr>
          <w:p>
            <w:pPr>
              <w:spacing w:line="240" w:lineRule="exact"/>
              <w:contextualSpacing/>
              <w:jc w:val="center"/>
              <w:rPr>
                <w:rFonts w:ascii="仿宋" w:hAnsi="仿宋" w:eastAsia="仿宋"/>
                <w:sz w:val="24"/>
              </w:rPr>
            </w:pPr>
            <w:r>
              <w:rPr>
                <w:rFonts w:ascii="仿宋" w:hAnsi="仿宋" w:eastAsia="仿宋"/>
                <w:kern w:val="0"/>
                <w:sz w:val="24"/>
                <w:szCs w:val="24"/>
              </w:rPr>
              <w:t>资金结算</w:t>
            </w:r>
            <w:r>
              <w:rPr>
                <w:rFonts w:hint="eastAsia" w:ascii="仿宋" w:hAnsi="仿宋" w:eastAsia="仿宋"/>
                <w:kern w:val="0"/>
                <w:sz w:val="24"/>
                <w:szCs w:val="24"/>
              </w:rPr>
              <w:t>专</w:t>
            </w:r>
            <w:r>
              <w:rPr>
                <w:rFonts w:ascii="仿宋" w:hAnsi="仿宋" w:eastAsia="仿宋"/>
                <w:kern w:val="0"/>
                <w:sz w:val="24"/>
                <w:szCs w:val="24"/>
              </w:rPr>
              <w:t>户</w:t>
            </w:r>
            <w:r>
              <w:rPr>
                <w:rFonts w:hint="eastAsia" w:ascii="仿宋" w:hAnsi="仿宋" w:eastAsia="仿宋"/>
                <w:sz w:val="24"/>
              </w:rPr>
              <w:t>账号</w:t>
            </w:r>
          </w:p>
        </w:tc>
        <w:tc>
          <w:tcPr>
            <w:tcW w:w="2268" w:type="dxa"/>
            <w:vAlign w:val="center"/>
          </w:tcPr>
          <w:p>
            <w:pPr>
              <w:spacing w:line="240" w:lineRule="exact"/>
              <w:contextualSpacing/>
              <w:jc w:val="center"/>
              <w:rPr>
                <w:rFonts w:ascii="仿宋" w:hAnsi="仿宋" w:eastAsia="仿宋"/>
                <w:sz w:val="24"/>
              </w:rPr>
            </w:pPr>
          </w:p>
        </w:tc>
        <w:tc>
          <w:tcPr>
            <w:tcW w:w="1276" w:type="dxa"/>
            <w:vAlign w:val="center"/>
          </w:tcPr>
          <w:p>
            <w:pPr>
              <w:spacing w:line="240" w:lineRule="exact"/>
              <w:contextualSpacing/>
              <w:jc w:val="center"/>
              <w:rPr>
                <w:rFonts w:ascii="仿宋" w:hAnsi="仿宋" w:eastAsia="仿宋"/>
                <w:sz w:val="24"/>
              </w:rPr>
            </w:pPr>
            <w:r>
              <w:rPr>
                <w:rFonts w:hint="eastAsia" w:ascii="仿宋" w:hAnsi="仿宋" w:eastAsia="仿宋"/>
                <w:sz w:val="24"/>
              </w:rPr>
              <w:t>开户日期</w:t>
            </w:r>
          </w:p>
        </w:tc>
        <w:tc>
          <w:tcPr>
            <w:tcW w:w="2602" w:type="dxa"/>
            <w:vAlign w:val="center"/>
          </w:tcPr>
          <w:p>
            <w:pPr>
              <w:spacing w:line="240" w:lineRule="exact"/>
              <w:contextualSpacing/>
              <w:jc w:val="center"/>
              <w:rPr>
                <w:rFonts w:ascii="仿宋" w:hAnsi="仿宋" w:eastAsia="仿宋"/>
                <w:sz w:val="24"/>
              </w:rPr>
            </w:pPr>
            <w:r>
              <w:rPr>
                <w:rFonts w:ascii="仿宋" w:hAnsi="仿宋" w:eastAsia="仿宋"/>
                <w:sz w:val="24"/>
              </w:rPr>
              <w:t xml:space="preserve">年   </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548" w:hRule="atLeast"/>
          <w:jc w:val="center"/>
        </w:trPr>
        <w:tc>
          <w:tcPr>
            <w:tcW w:w="2638" w:type="dxa"/>
            <w:vAlign w:val="center"/>
          </w:tcPr>
          <w:p>
            <w:pPr>
              <w:spacing w:line="240" w:lineRule="exact"/>
              <w:contextualSpacing/>
              <w:jc w:val="center"/>
              <w:rPr>
                <w:rFonts w:ascii="仿宋" w:hAnsi="仿宋" w:eastAsia="仿宋"/>
                <w:sz w:val="24"/>
              </w:rPr>
            </w:pPr>
            <w:r>
              <w:rPr>
                <w:rFonts w:ascii="仿宋" w:hAnsi="仿宋" w:eastAsia="仿宋"/>
                <w:kern w:val="0"/>
                <w:sz w:val="24"/>
                <w:szCs w:val="24"/>
              </w:rPr>
              <w:t>资金结算</w:t>
            </w:r>
            <w:r>
              <w:rPr>
                <w:rFonts w:hint="eastAsia" w:ascii="仿宋" w:hAnsi="仿宋" w:eastAsia="仿宋"/>
                <w:kern w:val="0"/>
                <w:sz w:val="24"/>
                <w:szCs w:val="24"/>
              </w:rPr>
              <w:t>专</w:t>
            </w:r>
            <w:r>
              <w:rPr>
                <w:rFonts w:ascii="仿宋" w:hAnsi="仿宋" w:eastAsia="仿宋"/>
                <w:kern w:val="0"/>
                <w:sz w:val="24"/>
                <w:szCs w:val="24"/>
              </w:rPr>
              <w:t>户</w:t>
            </w:r>
            <w:r>
              <w:rPr>
                <w:rFonts w:hint="eastAsia" w:ascii="仿宋" w:hAnsi="仿宋" w:eastAsia="仿宋"/>
                <w:sz w:val="24"/>
              </w:rPr>
              <w:t>名称</w:t>
            </w:r>
          </w:p>
        </w:tc>
        <w:tc>
          <w:tcPr>
            <w:tcW w:w="614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PrEx>
        <w:trPr>
          <w:trHeight w:val="411" w:hRule="atLeast"/>
          <w:jc w:val="center"/>
        </w:trPr>
        <w:tc>
          <w:tcPr>
            <w:tcW w:w="2638" w:type="dxa"/>
            <w:vAlign w:val="center"/>
          </w:tcPr>
          <w:p>
            <w:pPr>
              <w:spacing w:line="240" w:lineRule="exact"/>
              <w:contextualSpacing/>
              <w:jc w:val="center"/>
              <w:rPr>
                <w:rFonts w:ascii="仿宋" w:hAnsi="仿宋" w:eastAsia="仿宋"/>
                <w:sz w:val="24"/>
              </w:rPr>
            </w:pPr>
            <w:r>
              <w:rPr>
                <w:rFonts w:hint="eastAsia" w:ascii="仿宋" w:hAnsi="仿宋" w:eastAsia="仿宋"/>
                <w:sz w:val="24"/>
              </w:rPr>
              <w:t>经办</w:t>
            </w:r>
          </w:p>
        </w:tc>
        <w:tc>
          <w:tcPr>
            <w:tcW w:w="2268" w:type="dxa"/>
            <w:vAlign w:val="center"/>
          </w:tcPr>
          <w:p>
            <w:pPr>
              <w:spacing w:line="240" w:lineRule="exact"/>
              <w:contextualSpacing/>
              <w:jc w:val="center"/>
              <w:rPr>
                <w:rFonts w:ascii="仿宋" w:hAnsi="仿宋" w:eastAsia="仿宋"/>
                <w:sz w:val="24"/>
              </w:rPr>
            </w:pPr>
          </w:p>
        </w:tc>
        <w:tc>
          <w:tcPr>
            <w:tcW w:w="1276" w:type="dxa"/>
            <w:vAlign w:val="center"/>
          </w:tcPr>
          <w:p>
            <w:pPr>
              <w:spacing w:line="240" w:lineRule="exact"/>
              <w:contextualSpacing/>
              <w:jc w:val="center"/>
              <w:rPr>
                <w:rFonts w:ascii="仿宋" w:hAnsi="仿宋" w:eastAsia="仿宋"/>
                <w:sz w:val="24"/>
              </w:rPr>
            </w:pPr>
            <w:r>
              <w:rPr>
                <w:rFonts w:hint="eastAsia" w:ascii="仿宋" w:hAnsi="仿宋" w:eastAsia="仿宋"/>
                <w:sz w:val="24"/>
              </w:rPr>
              <w:t>复核</w:t>
            </w:r>
          </w:p>
        </w:tc>
        <w:tc>
          <w:tcPr>
            <w:tcW w:w="2602" w:type="dxa"/>
            <w:vAlign w:val="center"/>
          </w:tcPr>
          <w:p>
            <w:pPr>
              <w:spacing w:line="240" w:lineRule="exact"/>
              <w:contextualSpacing/>
              <w:jc w:val="center"/>
              <w:rPr>
                <w:rFonts w:ascii="仿宋" w:hAnsi="仿宋" w:eastAsia="仿宋"/>
                <w:sz w:val="24"/>
              </w:rPr>
            </w:pPr>
          </w:p>
        </w:tc>
      </w:tr>
    </w:tbl>
    <w:p>
      <w:pPr>
        <w:spacing w:line="360" w:lineRule="auto"/>
        <w:rPr>
          <w:rFonts w:ascii="仿宋" w:hAnsi="仿宋" w:eastAsia="仿宋"/>
          <w:kern w:val="0"/>
          <w:sz w:val="30"/>
          <w:szCs w:val="30"/>
        </w:rPr>
        <w:sectPr>
          <w:pgSz w:w="11906" w:h="16838"/>
          <w:pgMar w:top="1440" w:right="1800" w:bottom="1440" w:left="1800" w:header="851" w:footer="992" w:gutter="0"/>
          <w:cols w:space="425" w:num="1"/>
          <w:docGrid w:type="lines" w:linePitch="312" w:charSpace="0"/>
        </w:sectPr>
      </w:pPr>
    </w:p>
    <w:p>
      <w:pPr>
        <w:widowControl/>
        <w:spacing w:line="580" w:lineRule="exact"/>
        <w:jc w:val="left"/>
        <w:rPr>
          <w:rFonts w:ascii="黑体" w:hAnsi="宋体" w:eastAsia="黑体"/>
          <w:sz w:val="32"/>
          <w:szCs w:val="32"/>
          <w:lang w:bidi="ar"/>
        </w:rPr>
      </w:pPr>
      <w:r>
        <w:rPr>
          <w:rFonts w:hint="eastAsia" w:ascii="黑体" w:hAnsi="宋体" w:eastAsia="黑体"/>
          <w:sz w:val="32"/>
          <w:szCs w:val="32"/>
          <w:lang w:bidi="ar"/>
        </w:rPr>
        <w:t>附</w:t>
      </w:r>
      <w:r>
        <w:rPr>
          <w:rFonts w:ascii="黑体" w:hAnsi="宋体" w:eastAsia="黑体"/>
          <w:sz w:val="32"/>
          <w:szCs w:val="32"/>
          <w:lang w:bidi="ar"/>
        </w:rPr>
        <w:t>12</w:t>
      </w:r>
    </w:p>
    <w:p>
      <w:pPr>
        <w:spacing w:line="360" w:lineRule="auto"/>
        <w:jc w:val="center"/>
        <w:rPr>
          <w:rFonts w:ascii="宋体" w:hAnsi="宋体" w:cs="宋体"/>
          <w:b/>
          <w:sz w:val="44"/>
          <w:szCs w:val="44"/>
          <w:lang w:bidi="ar"/>
        </w:rPr>
      </w:pPr>
      <w:bookmarkStart w:id="41" w:name="32"/>
      <w:bookmarkEnd w:id="41"/>
      <w:bookmarkStart w:id="42" w:name="24"/>
      <w:bookmarkEnd w:id="42"/>
      <w:bookmarkStart w:id="43" w:name="31"/>
      <w:bookmarkEnd w:id="43"/>
      <w:bookmarkStart w:id="44" w:name="35"/>
      <w:bookmarkEnd w:id="44"/>
      <w:bookmarkStart w:id="45" w:name="34"/>
      <w:bookmarkEnd w:id="45"/>
      <w:bookmarkStart w:id="46" w:name="33"/>
      <w:bookmarkEnd w:id="46"/>
      <w:bookmarkStart w:id="47" w:name="26"/>
      <w:bookmarkEnd w:id="47"/>
      <w:bookmarkStart w:id="48" w:name="27"/>
      <w:bookmarkEnd w:id="48"/>
      <w:bookmarkStart w:id="49" w:name="30"/>
      <w:bookmarkEnd w:id="49"/>
      <w:bookmarkStart w:id="50" w:name="29"/>
      <w:bookmarkEnd w:id="50"/>
      <w:bookmarkStart w:id="51" w:name="28"/>
      <w:bookmarkEnd w:id="51"/>
      <w:bookmarkStart w:id="52" w:name="25"/>
      <w:bookmarkEnd w:id="52"/>
      <w:r>
        <w:rPr>
          <w:rFonts w:hint="eastAsia" w:ascii="宋体" w:hAnsi="宋体" w:cs="宋体"/>
          <w:b/>
          <w:sz w:val="44"/>
          <w:szCs w:val="44"/>
          <w:lang w:bidi="ar"/>
        </w:rPr>
        <w:t>银行间市场清算所股份有限公司</w:t>
      </w:r>
    </w:p>
    <w:p>
      <w:pPr>
        <w:spacing w:line="360" w:lineRule="auto"/>
        <w:jc w:val="center"/>
        <w:rPr>
          <w:rFonts w:ascii="宋体" w:hAnsi="宋体" w:cs="宋体"/>
          <w:b/>
          <w:sz w:val="44"/>
          <w:szCs w:val="44"/>
          <w:lang w:bidi="ar"/>
        </w:rPr>
      </w:pPr>
      <w:r>
        <w:rPr>
          <w:rFonts w:hint="eastAsia" w:ascii="宋体" w:hAnsi="宋体" w:cs="宋体"/>
          <w:b/>
          <w:sz w:val="44"/>
          <w:szCs w:val="44"/>
          <w:lang w:bidi="ar"/>
        </w:rPr>
        <w:t>大宗商品现货清算业务现货清算成员</w:t>
      </w:r>
    </w:p>
    <w:p>
      <w:pPr>
        <w:spacing w:line="360" w:lineRule="auto"/>
        <w:jc w:val="center"/>
        <w:rPr>
          <w:rFonts w:ascii="宋体" w:hAnsi="宋体" w:cs="宋体"/>
          <w:b/>
          <w:sz w:val="44"/>
          <w:szCs w:val="44"/>
          <w:lang w:bidi="ar"/>
        </w:rPr>
      </w:pPr>
      <w:r>
        <w:rPr>
          <w:rFonts w:hint="eastAsia" w:ascii="宋体" w:hAnsi="宋体" w:cs="宋体"/>
          <w:b/>
          <w:sz w:val="44"/>
          <w:szCs w:val="44"/>
          <w:lang w:bidi="ar"/>
        </w:rPr>
        <w:t>资格终止申请表</w:t>
      </w:r>
    </w:p>
    <w:tbl>
      <w:tblPr>
        <w:tblStyle w:val="21"/>
        <w:tblW w:w="9215"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7"/>
        <w:gridCol w:w="284"/>
        <w:gridCol w:w="2126"/>
        <w:gridCol w:w="2410"/>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trPr>
        <w:tc>
          <w:tcPr>
            <w:tcW w:w="9215"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jc w:val="center"/>
              <w:rPr>
                <w:rFonts w:ascii="Times New Roman" w:hAnsi="Times New Roman" w:cs="Times New Roman"/>
                <w:b/>
                <w:color w:val="auto"/>
              </w:rPr>
            </w:pPr>
            <w:r>
              <w:rPr>
                <w:rFonts w:hint="eastAsia" w:ascii="Times New Roman" w:hAnsi="Times New Roman" w:cs="Times New Roman"/>
                <w:b/>
                <w:color w:val="auto"/>
              </w:rPr>
              <w:t>申请机构信息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2411" w:type="dxa"/>
            <w:gridSpan w:val="2"/>
            <w:tcBorders>
              <w:top w:val="single" w:color="000000" w:sz="8" w:space="0"/>
              <w:left w:val="single" w:color="000000" w:sz="8" w:space="0"/>
              <w:bottom w:val="single" w:color="000000" w:sz="8" w:space="0"/>
              <w:right w:val="single" w:color="000000" w:sz="8" w:space="0"/>
            </w:tcBorders>
            <w:vAlign w:val="center"/>
          </w:tcPr>
          <w:p>
            <w:pPr>
              <w:pStyle w:val="36"/>
              <w:jc w:val="center"/>
              <w:rPr>
                <w:rFonts w:ascii="Times New Roman" w:hAnsi="Times New Roman" w:cs="Times New Roman"/>
                <w:color w:val="auto"/>
              </w:rPr>
            </w:pPr>
            <w:r>
              <w:rPr>
                <w:rFonts w:hint="eastAsia" w:ascii="Times New Roman" w:hAnsi="Times New Roman" w:cs="Times New Roman"/>
                <w:color w:val="auto"/>
              </w:rPr>
              <w:t>机构名称</w:t>
            </w:r>
          </w:p>
        </w:tc>
        <w:tc>
          <w:tcPr>
            <w:tcW w:w="6804" w:type="dxa"/>
            <w:gridSpan w:val="3"/>
            <w:tcBorders>
              <w:top w:val="single" w:color="000000" w:sz="8" w:space="0"/>
              <w:left w:val="single" w:color="000000" w:sz="8" w:space="0"/>
              <w:bottom w:val="single" w:color="000000" w:sz="8" w:space="0"/>
              <w:right w:val="single" w:color="000000" w:sz="8" w:space="0"/>
            </w:tcBorders>
            <w:vAlign w:val="center"/>
          </w:tcPr>
          <w:p>
            <w:pPr>
              <w:pStyle w:val="36"/>
              <w:jc w:val="center"/>
              <w:rPr>
                <w:rFonts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2411" w:type="dxa"/>
            <w:gridSpan w:val="2"/>
            <w:tcBorders>
              <w:top w:val="single" w:color="000000" w:sz="8" w:space="0"/>
              <w:left w:val="single" w:color="000000" w:sz="8" w:space="0"/>
              <w:bottom w:val="single" w:color="000000" w:sz="8" w:space="0"/>
              <w:right w:val="single" w:color="000000" w:sz="8" w:space="0"/>
            </w:tcBorders>
            <w:vAlign w:val="center"/>
          </w:tcPr>
          <w:p>
            <w:pPr>
              <w:pStyle w:val="36"/>
              <w:jc w:val="center"/>
              <w:rPr>
                <w:rFonts w:ascii="Times New Roman" w:hAnsi="Times New Roman" w:cs="Times New Roman"/>
                <w:color w:val="auto"/>
              </w:rPr>
            </w:pPr>
            <w:r>
              <w:rPr>
                <w:rFonts w:hint="eastAsia" w:ascii="Times New Roman" w:hAnsi="Times New Roman" w:cs="Times New Roman"/>
                <w:color w:val="auto"/>
              </w:rPr>
              <w:t>已参与业务名称</w:t>
            </w:r>
          </w:p>
        </w:tc>
        <w:tc>
          <w:tcPr>
            <w:tcW w:w="6804"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cs="Times New Roman"/>
              </w:rPr>
            </w:pPr>
            <w:r>
              <w:rPr>
                <w:rFonts w:hint="eastAsia" w:ascii="仿宋" w:hAnsi="仿宋" w:eastAsia="仿宋"/>
                <w:color w:val="000000"/>
                <w:kern w:val="0"/>
                <w:sz w:val="24"/>
                <w:szCs w:val="24"/>
              </w:rPr>
              <w:t>□境内业务</w:t>
            </w:r>
            <w:r>
              <w:rPr>
                <w:rFonts w:ascii="仿宋" w:hAnsi="仿宋" w:eastAsia="仿宋"/>
                <w:color w:val="000000"/>
                <w:kern w:val="0"/>
                <w:sz w:val="24"/>
                <w:szCs w:val="24"/>
              </w:rPr>
              <w:t xml:space="preserve">           </w:t>
            </w:r>
            <w:r>
              <w:rPr>
                <w:rFonts w:hint="eastAsia" w:ascii="仿宋" w:hAnsi="仿宋" w:eastAsia="仿宋"/>
                <w:color w:val="000000"/>
                <w:kern w:val="0"/>
                <w:sz w:val="24"/>
                <w:szCs w:val="24"/>
              </w:rPr>
              <w:t>□上海</w:t>
            </w:r>
            <w:r>
              <w:rPr>
                <w:rFonts w:ascii="仿宋" w:hAnsi="仿宋" w:eastAsia="仿宋"/>
                <w:color w:val="000000"/>
                <w:kern w:val="0"/>
                <w:sz w:val="24"/>
                <w:szCs w:val="24"/>
              </w:rPr>
              <w:t>自贸区</w:t>
            </w:r>
            <w:r>
              <w:rPr>
                <w:rFonts w:hint="eastAsia" w:ascii="仿宋" w:hAnsi="仿宋" w:eastAsia="仿宋"/>
                <w:color w:val="000000"/>
                <w:kern w:val="0"/>
                <w:sz w:val="24"/>
                <w:szCs w:val="24"/>
              </w:rPr>
              <w:t>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2411" w:type="dxa"/>
            <w:gridSpan w:val="2"/>
            <w:tcBorders>
              <w:top w:val="single" w:color="000000" w:sz="8" w:space="0"/>
              <w:left w:val="single" w:color="000000" w:sz="8" w:space="0"/>
              <w:bottom w:val="single" w:color="000000" w:sz="8" w:space="0"/>
              <w:right w:val="single" w:color="000000" w:sz="8" w:space="0"/>
            </w:tcBorders>
            <w:vAlign w:val="center"/>
          </w:tcPr>
          <w:p>
            <w:pPr>
              <w:pStyle w:val="36"/>
              <w:jc w:val="center"/>
              <w:rPr>
                <w:rFonts w:ascii="Times New Roman" w:hAnsi="Times New Roman" w:cs="Times New Roman"/>
                <w:color w:val="auto"/>
              </w:rPr>
            </w:pPr>
            <w:r>
              <w:rPr>
                <w:rFonts w:hint="eastAsia" w:ascii="Times New Roman" w:hAnsi="Times New Roman" w:cs="Times New Roman"/>
                <w:color w:val="auto"/>
              </w:rPr>
              <w:t>申请退出业务名称</w:t>
            </w:r>
          </w:p>
        </w:tc>
        <w:tc>
          <w:tcPr>
            <w:tcW w:w="6804" w:type="dxa"/>
            <w:gridSpan w:val="3"/>
            <w:tcBorders>
              <w:top w:val="single" w:color="000000" w:sz="8" w:space="0"/>
              <w:left w:val="single" w:color="000000" w:sz="8" w:space="0"/>
              <w:bottom w:val="single" w:color="000000" w:sz="8" w:space="0"/>
              <w:right w:val="single" w:color="000000" w:sz="8" w:space="0"/>
            </w:tcBorders>
            <w:vAlign w:val="center"/>
          </w:tcPr>
          <w:p>
            <w:pPr>
              <w:pStyle w:val="36"/>
              <w:rPr>
                <w:rFonts w:ascii="Times New Roman" w:hAnsi="Times New Roman" w:cs="Times New Roman"/>
                <w:color w:val="auto"/>
              </w:rPr>
            </w:pPr>
            <w:r>
              <w:rPr>
                <w:rFonts w:hint="eastAsia" w:hAnsi="仿宋"/>
              </w:rPr>
              <w:t>□境内业务</w:t>
            </w:r>
            <w:r>
              <w:rPr>
                <w:rFonts w:hAnsi="仿宋"/>
              </w:rPr>
              <w:t xml:space="preserve">           </w:t>
            </w:r>
            <w:r>
              <w:rPr>
                <w:rFonts w:hint="eastAsia" w:hAnsi="仿宋"/>
              </w:rPr>
              <w:t>□上海</w:t>
            </w:r>
            <w:r>
              <w:rPr>
                <w:rFonts w:hAnsi="仿宋"/>
              </w:rPr>
              <w:t>自贸区</w:t>
            </w:r>
            <w:r>
              <w:rPr>
                <w:rFonts w:hint="eastAsia" w:hAnsi="仿宋"/>
              </w:rPr>
              <w:t>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2411" w:type="dxa"/>
            <w:gridSpan w:val="2"/>
            <w:tcBorders>
              <w:top w:val="single" w:color="000000" w:sz="8" w:space="0"/>
              <w:left w:val="single" w:color="000000" w:sz="8" w:space="0"/>
              <w:bottom w:val="single" w:color="000000" w:sz="8" w:space="0"/>
              <w:right w:val="single" w:color="000000" w:sz="8" w:space="0"/>
            </w:tcBorders>
            <w:vAlign w:val="center"/>
          </w:tcPr>
          <w:p>
            <w:pPr>
              <w:pStyle w:val="36"/>
              <w:jc w:val="center"/>
              <w:rPr>
                <w:rFonts w:ascii="Times New Roman" w:hAnsi="Times New Roman" w:cs="Times New Roman"/>
                <w:color w:val="auto"/>
              </w:rPr>
            </w:pPr>
            <w:r>
              <w:rPr>
                <w:rFonts w:hint="eastAsia" w:ascii="Times New Roman" w:hAnsi="Times New Roman" w:cs="Times New Roman"/>
                <w:color w:val="auto"/>
              </w:rPr>
              <w:t>是否</w:t>
            </w:r>
            <w:r>
              <w:rPr>
                <w:rFonts w:ascii="Times New Roman" w:hAnsi="Times New Roman" w:cs="Times New Roman"/>
                <w:color w:val="auto"/>
              </w:rPr>
              <w:t>同时</w:t>
            </w:r>
            <w:r>
              <w:rPr>
                <w:rFonts w:hint="eastAsia" w:ascii="Times New Roman" w:hAnsi="Times New Roman" w:cs="Times New Roman"/>
                <w:color w:val="auto"/>
              </w:rPr>
              <w:t>申请</w:t>
            </w:r>
            <w:r>
              <w:rPr>
                <w:rFonts w:ascii="Times New Roman" w:hAnsi="Times New Roman" w:cs="Times New Roman"/>
                <w:color w:val="auto"/>
              </w:rPr>
              <w:t>终止</w:t>
            </w:r>
          </w:p>
          <w:p>
            <w:pPr>
              <w:pStyle w:val="36"/>
              <w:jc w:val="center"/>
              <w:rPr>
                <w:rFonts w:ascii="Times New Roman" w:hAnsi="Times New Roman" w:cs="Times New Roman"/>
                <w:color w:val="auto"/>
              </w:rPr>
            </w:pPr>
            <w:r>
              <w:rPr>
                <w:rFonts w:ascii="Times New Roman" w:hAnsi="Times New Roman" w:cs="Times New Roman"/>
                <w:color w:val="auto"/>
              </w:rPr>
              <w:t>现货清算成员资格</w:t>
            </w:r>
          </w:p>
        </w:tc>
        <w:tc>
          <w:tcPr>
            <w:tcW w:w="6804" w:type="dxa"/>
            <w:gridSpan w:val="3"/>
            <w:tcBorders>
              <w:top w:val="single" w:color="000000" w:sz="8" w:space="0"/>
              <w:left w:val="single" w:color="000000" w:sz="8" w:space="0"/>
              <w:bottom w:val="single" w:color="000000" w:sz="8" w:space="0"/>
              <w:right w:val="single" w:color="000000" w:sz="8" w:space="0"/>
            </w:tcBorders>
            <w:vAlign w:val="center"/>
          </w:tcPr>
          <w:p>
            <w:pPr>
              <w:pStyle w:val="36"/>
              <w:rPr>
                <w:rFonts w:hAnsi="仿宋"/>
              </w:rPr>
            </w:pPr>
            <w:r>
              <w:rPr>
                <w:rFonts w:hint="eastAsia" w:hAnsi="仿宋"/>
              </w:rPr>
              <w:t xml:space="preserve">□是 </w:t>
            </w:r>
            <w:r>
              <w:rPr>
                <w:rFonts w:hAnsi="仿宋"/>
              </w:rPr>
              <w:t xml:space="preserve">                </w:t>
            </w:r>
            <w:r>
              <w:rPr>
                <w:rFonts w:hint="eastAsia" w:hAnsi="仿宋"/>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215" w:type="dxa"/>
            <w:gridSpan w:val="5"/>
            <w:tcBorders>
              <w:top w:val="single" w:color="000000" w:sz="8" w:space="0"/>
              <w:left w:val="single" w:color="000000" w:sz="8" w:space="0"/>
              <w:bottom w:val="single" w:color="000000" w:sz="8" w:space="0"/>
              <w:right w:val="single" w:color="000000" w:sz="8" w:space="0"/>
            </w:tcBorders>
            <w:vAlign w:val="center"/>
          </w:tcPr>
          <w:p>
            <w:pPr>
              <w:pStyle w:val="36"/>
              <w:jc w:val="center"/>
              <w:rPr>
                <w:rFonts w:ascii="Times New Roman" w:hAnsi="Times New Roman" w:cs="Times New Roman"/>
                <w:color w:val="auto"/>
              </w:rPr>
            </w:pPr>
            <w:r>
              <w:rPr>
                <w:rFonts w:hint="eastAsia" w:ascii="Times New Roman" w:hAnsi="Times New Roman" w:cs="Times New Roman"/>
                <w:b/>
                <w:color w:val="auto"/>
              </w:rPr>
              <w:t>终止原因说明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37" w:hRule="atLeast"/>
        </w:trPr>
        <w:tc>
          <w:tcPr>
            <w:tcW w:w="9215" w:type="dxa"/>
            <w:gridSpan w:val="5"/>
            <w:tcBorders>
              <w:top w:val="single" w:color="000000" w:sz="8" w:space="0"/>
              <w:left w:val="single" w:color="000000" w:sz="8" w:space="0"/>
              <w:bottom w:val="single" w:color="000000" w:sz="8" w:space="0"/>
              <w:right w:val="single" w:color="000000" w:sz="8" w:space="0"/>
            </w:tcBorders>
            <w:vAlign w:val="center"/>
          </w:tcPr>
          <w:p>
            <w:pPr>
              <w:pStyle w:val="36"/>
              <w:ind w:firstLine="420"/>
              <w:jc w:val="both"/>
              <w:rPr>
                <w:rFonts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9215"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jc w:val="both"/>
              <w:rPr>
                <w:rFonts w:ascii="Times New Roman" w:hAnsi="Times New Roman" w:cs="Times New Roman"/>
                <w:color w:val="auto"/>
              </w:rPr>
            </w:pPr>
            <w:r>
              <w:rPr>
                <w:rFonts w:hint="eastAsia" w:ascii="Times New Roman" w:hAnsi="Times New Roman" w:cs="Times New Roman"/>
                <w:b/>
                <w:color w:val="auto"/>
              </w:rPr>
              <w:t>申请机构承诺事项：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94" w:hRule="atLeast"/>
        </w:trPr>
        <w:tc>
          <w:tcPr>
            <w:tcW w:w="9215" w:type="dxa"/>
            <w:gridSpan w:val="5"/>
            <w:tcBorders>
              <w:top w:val="single" w:color="000000" w:sz="8" w:space="0"/>
              <w:left w:val="single" w:color="000000" w:sz="8" w:space="0"/>
              <w:bottom w:val="single" w:color="000000" w:sz="8" w:space="0"/>
              <w:right w:val="single" w:color="000000" w:sz="8" w:space="0"/>
            </w:tcBorders>
          </w:tcPr>
          <w:p>
            <w:pPr>
              <w:pStyle w:val="36"/>
              <w:tabs>
                <w:tab w:val="center" w:pos="4153"/>
                <w:tab w:val="right" w:pos="8306"/>
              </w:tabs>
              <w:snapToGrid w:val="0"/>
              <w:jc w:val="both"/>
              <w:rPr>
                <w:rFonts w:hAnsi="仿宋" w:cs="Times New Roman"/>
                <w:color w:val="auto"/>
              </w:rPr>
            </w:pPr>
            <w:r>
              <w:rPr>
                <w:rFonts w:hAnsi="仿宋" w:cs="Times New Roman"/>
                <w:color w:val="auto"/>
              </w:rPr>
              <w:t>1．</w:t>
            </w:r>
            <w:r>
              <w:rPr>
                <w:rFonts w:hint="eastAsia" w:hAnsi="仿宋"/>
              </w:rPr>
              <w:t>本机构</w:t>
            </w:r>
            <w:r>
              <w:rPr>
                <w:rFonts w:hAnsi="仿宋" w:cs="Times New Roman"/>
                <w:color w:val="auto"/>
              </w:rPr>
              <w:t>自愿</w:t>
            </w:r>
            <w:r>
              <w:rPr>
                <w:rFonts w:hint="eastAsia" w:hAnsi="仿宋" w:cs="Times New Roman"/>
                <w:color w:val="auto"/>
              </w:rPr>
              <w:t>提出</w:t>
            </w:r>
            <w:r>
              <w:rPr>
                <w:rFonts w:hAnsi="仿宋" w:cs="Times New Roman"/>
                <w:color w:val="auto"/>
              </w:rPr>
              <w:t>上述申请</w:t>
            </w:r>
            <w:r>
              <w:rPr>
                <w:rFonts w:hint="eastAsia" w:hAnsi="仿宋" w:cs="Times New Roman"/>
                <w:color w:val="auto"/>
              </w:rPr>
              <w:t>，保证提供的所有资料真实、完整、准确；</w:t>
            </w:r>
          </w:p>
          <w:p>
            <w:pPr>
              <w:pStyle w:val="36"/>
              <w:tabs>
                <w:tab w:val="center" w:pos="4153"/>
                <w:tab w:val="right" w:pos="8306"/>
              </w:tabs>
              <w:snapToGrid w:val="0"/>
              <w:jc w:val="both"/>
              <w:rPr>
                <w:rFonts w:hAnsi="仿宋" w:cs="Times New Roman"/>
                <w:color w:val="auto"/>
              </w:rPr>
            </w:pPr>
            <w:r>
              <w:rPr>
                <w:rFonts w:hAnsi="仿宋" w:cs="Times New Roman"/>
                <w:color w:val="auto"/>
              </w:rPr>
              <w:t>2．有违反贵公司有关</w:t>
            </w:r>
            <w:r>
              <w:rPr>
                <w:rFonts w:hint="eastAsia" w:hAnsi="仿宋" w:cs="Times New Roman"/>
                <w:color w:val="auto"/>
              </w:rPr>
              <w:t>大宗商品现货清算业务规定的，</w:t>
            </w:r>
            <w:r>
              <w:rPr>
                <w:rFonts w:hint="eastAsia" w:hAnsi="仿宋"/>
              </w:rPr>
              <w:t>本机构</w:t>
            </w:r>
            <w:r>
              <w:rPr>
                <w:rFonts w:hint="eastAsia" w:hAnsi="仿宋" w:cs="Times New Roman"/>
                <w:color w:val="auto"/>
              </w:rPr>
              <w:t>将承担由此引起的一切后果及法律责任。</w:t>
            </w:r>
          </w:p>
          <w:p>
            <w:pPr>
              <w:pStyle w:val="36"/>
              <w:ind w:firstLine="460"/>
              <w:jc w:val="both"/>
              <w:rPr>
                <w:rFonts w:hAnsi="仿宋" w:cs="Times New Roman"/>
                <w:color w:val="auto"/>
              </w:rPr>
            </w:pPr>
          </w:p>
          <w:p>
            <w:pPr>
              <w:pStyle w:val="36"/>
              <w:ind w:firstLine="460"/>
              <w:jc w:val="both"/>
              <w:rPr>
                <w:rFonts w:hAnsi="仿宋" w:cs="Times New Roman"/>
                <w:color w:val="auto"/>
              </w:rPr>
            </w:pPr>
          </w:p>
          <w:p>
            <w:pPr>
              <w:pStyle w:val="36"/>
              <w:ind w:firstLine="460"/>
              <w:jc w:val="both"/>
              <w:rPr>
                <w:rFonts w:hAnsi="仿宋" w:cs="Times New Roman"/>
                <w:color w:val="auto"/>
              </w:rPr>
            </w:pPr>
          </w:p>
          <w:p>
            <w:pPr>
              <w:pStyle w:val="36"/>
              <w:ind w:firstLine="460"/>
              <w:jc w:val="both"/>
              <w:rPr>
                <w:rFonts w:hAnsi="仿宋" w:cs="Times New Roman"/>
                <w:color w:val="auto"/>
              </w:rPr>
            </w:pPr>
          </w:p>
          <w:p>
            <w:pPr>
              <w:pStyle w:val="36"/>
              <w:ind w:firstLine="460"/>
              <w:jc w:val="both"/>
              <w:rPr>
                <w:rFonts w:hAnsi="仿宋" w:cs="Times New Roman"/>
                <w:color w:val="auto"/>
              </w:rPr>
            </w:pPr>
          </w:p>
          <w:p>
            <w:pPr>
              <w:pStyle w:val="36"/>
              <w:ind w:firstLine="460"/>
              <w:jc w:val="both"/>
              <w:rPr>
                <w:rFonts w:hAnsi="仿宋" w:cs="Times New Roman"/>
                <w:color w:val="auto"/>
              </w:rPr>
            </w:pPr>
          </w:p>
          <w:p>
            <w:pPr>
              <w:pStyle w:val="36"/>
              <w:jc w:val="both"/>
              <w:rPr>
                <w:rFonts w:hAnsi="仿宋" w:cs="Times New Roman"/>
                <w:color w:val="auto"/>
              </w:rPr>
            </w:pPr>
          </w:p>
          <w:p>
            <w:pPr>
              <w:spacing w:line="240" w:lineRule="exact"/>
              <w:ind w:left="4996" w:leftChars="2379" w:firstLine="600" w:firstLineChars="250"/>
              <w:contextualSpacing/>
              <w:rPr>
                <w:rFonts w:ascii="仿宋" w:hAnsi="仿宋" w:eastAsia="仿宋"/>
                <w:sz w:val="24"/>
                <w:szCs w:val="24"/>
              </w:rPr>
            </w:pPr>
            <w:r>
              <w:rPr>
                <w:rFonts w:hint="eastAsia" w:ascii="仿宋" w:hAnsi="仿宋" w:eastAsia="仿宋"/>
                <w:sz w:val="24"/>
                <w:szCs w:val="24"/>
              </w:rPr>
              <w:t>单位公章（或预留印鉴章）：</w:t>
            </w:r>
          </w:p>
          <w:p>
            <w:pPr>
              <w:pStyle w:val="36"/>
              <w:ind w:left="6707" w:leftChars="2851" w:hanging="720" w:hangingChars="300"/>
              <w:jc w:val="both"/>
              <w:rPr>
                <w:rFonts w:hAnsi="仿宋" w:cs="Times New Roman"/>
                <w:color w:val="auto"/>
              </w:rPr>
            </w:pPr>
            <w:r>
              <w:rPr>
                <w:rFonts w:hAnsi="仿宋"/>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3" w:hRule="atLeast"/>
        </w:trPr>
        <w:tc>
          <w:tcPr>
            <w:tcW w:w="2127" w:type="dxa"/>
            <w:tcBorders>
              <w:top w:val="single" w:color="000000" w:sz="8" w:space="0"/>
              <w:left w:val="single" w:color="000000" w:sz="8" w:space="0"/>
              <w:bottom w:val="single" w:color="000000" w:sz="8" w:space="0"/>
              <w:right w:val="single" w:color="000000" w:sz="8" w:space="0"/>
            </w:tcBorders>
            <w:vAlign w:val="center"/>
          </w:tcPr>
          <w:p>
            <w:pPr>
              <w:pStyle w:val="36"/>
              <w:jc w:val="both"/>
              <w:rPr>
                <w:rFonts w:ascii="Times New Roman" w:hAnsi="Times New Roman" w:cs="Times New Roman"/>
                <w:color w:val="auto"/>
              </w:rPr>
            </w:pPr>
            <w:r>
              <w:rPr>
                <w:rFonts w:hint="eastAsia" w:ascii="Times New Roman" w:hAnsi="Times New Roman" w:cs="Times New Roman"/>
                <w:color w:val="auto"/>
              </w:rPr>
              <w:t>经办人</w:t>
            </w:r>
          </w:p>
        </w:tc>
        <w:tc>
          <w:tcPr>
            <w:tcW w:w="2410" w:type="dxa"/>
            <w:gridSpan w:val="2"/>
            <w:tcBorders>
              <w:top w:val="single" w:color="000000" w:sz="8" w:space="0"/>
              <w:left w:val="single" w:color="000000" w:sz="8" w:space="0"/>
              <w:bottom w:val="single" w:color="000000" w:sz="8" w:space="0"/>
              <w:right w:val="single" w:color="000000" w:sz="8" w:space="0"/>
            </w:tcBorders>
            <w:vAlign w:val="center"/>
          </w:tcPr>
          <w:p>
            <w:pPr>
              <w:pStyle w:val="36"/>
              <w:ind w:firstLine="460"/>
              <w:jc w:val="both"/>
              <w:rPr>
                <w:rFonts w:ascii="Times New Roman" w:hAnsi="Times New Roman" w:cs="Times New Roman"/>
                <w:color w:val="auto"/>
              </w:rPr>
            </w:pPr>
          </w:p>
        </w:tc>
        <w:tc>
          <w:tcPr>
            <w:tcW w:w="241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jc w:val="both"/>
              <w:rPr>
                <w:rFonts w:ascii="Times New Roman" w:hAnsi="Times New Roman" w:cs="Times New Roman"/>
                <w:color w:val="auto"/>
              </w:rPr>
            </w:pPr>
            <w:r>
              <w:rPr>
                <w:rFonts w:hint="eastAsia" w:ascii="Times New Roman" w:hAnsi="Times New Roman" w:cs="Times New Roman"/>
                <w:color w:val="auto"/>
              </w:rPr>
              <w:t>联系电话</w:t>
            </w:r>
          </w:p>
        </w:tc>
        <w:tc>
          <w:tcPr>
            <w:tcW w:w="2268" w:type="dxa"/>
            <w:tcBorders>
              <w:top w:val="single" w:color="000000" w:sz="8" w:space="0"/>
              <w:left w:val="single" w:color="000000" w:sz="8" w:space="0"/>
              <w:bottom w:val="single" w:color="000000" w:sz="8" w:space="0"/>
              <w:right w:val="single" w:color="000000" w:sz="8" w:space="0"/>
            </w:tcBorders>
            <w:vAlign w:val="center"/>
          </w:tcPr>
          <w:p>
            <w:pPr>
              <w:pStyle w:val="36"/>
              <w:ind w:firstLine="460"/>
              <w:jc w:val="both"/>
              <w:rPr>
                <w:rFonts w:ascii="Times New Roman" w:hAnsi="Times New Roman" w:cs="Times New Roman"/>
                <w:color w:val="auto"/>
              </w:rPr>
            </w:pPr>
          </w:p>
        </w:tc>
      </w:tr>
    </w:tbl>
    <w:p>
      <w:pPr>
        <w:spacing w:line="360" w:lineRule="auto"/>
        <w:rPr>
          <w:rFonts w:hAnsi="仿宋"/>
          <w:sz w:val="10"/>
          <w:szCs w:val="10"/>
        </w:rPr>
      </w:pPr>
    </w:p>
    <w:sectPr>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3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8030504060A0204"/>
    <w:charset w:val="00"/>
    <w:family w:val="roman"/>
    <w:pitch w:val="default"/>
    <w:sig w:usb0="E00002FF" w:usb1="4000045F" w:usb2="00000000" w:usb3="00000000" w:csb0="2000019F"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Cambria Math">
    <w:altName w:val="Kingsoft Math"/>
    <w:panose1 w:val="02040503050406030204"/>
    <w:charset w:val="00"/>
    <w:family w:val="roman"/>
    <w:pitch w:val="default"/>
    <w:sig w:usb0="00000000" w:usb1="00000000" w:usb2="00000000" w:usb3="00000000" w:csb0="0000019F" w:csb1="00000000"/>
  </w:font>
  <w:font w:name="Noto Sans Symbols2">
    <w:panose1 w:val="020B0502040504020204"/>
    <w:charset w:val="00"/>
    <w:family w:val="auto"/>
    <w:pitch w:val="default"/>
    <w:sig w:usb0="80000003" w:usb1="0200E3E4" w:usb2="00040020" w:usb3="0580A048" w:csb0="00000001" w:csb1="00000000"/>
  </w:font>
  <w:font w:name="华光中圆_CNKI">
    <w:panose1 w:val="02000500000000000000"/>
    <w:charset w:val="86"/>
    <w:family w:val="auto"/>
    <w:pitch w:val="default"/>
    <w:sig w:usb0="A00002BF" w:usb1="18CF7CFA" w:usb2="00000016" w:usb3="00000000" w:csb0="0004000F" w:csb1="00000000"/>
  </w:font>
  <w:font w:name="Kingsoft Math">
    <w:panose1 w:val="02040503050406030204"/>
    <w:charset w:val="00"/>
    <w:family w:val="auto"/>
    <w:pitch w:val="default"/>
    <w:sig w:usb0="80000087" w:usb1="00002068" w:usb2="00000000" w:usb3="00000000" w:csb0="2000019F" w:csb1="0000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1</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2</w: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40</w:t>
    </w:r>
    <w:r>
      <w:fldChar w:fldCharType="end"/>
    </w: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41</w:t>
    </w:r>
    <w: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1E7F"/>
    <w:multiLevelType w:val="multilevel"/>
    <w:tmpl w:val="0CCF1E7F"/>
    <w:lvl w:ilvl="0" w:tentative="0">
      <w:start w:val="1"/>
      <w:numFmt w:val="japaneseCounting"/>
      <w:pStyle w:val="3"/>
      <w:lvlText w:val="第%1章"/>
      <w:lvlJc w:val="left"/>
      <w:pPr>
        <w:ind w:left="1080" w:hanging="1080"/>
      </w:pPr>
      <w:rPr>
        <w:rFonts w:hint="default" w:ascii="黑体" w:hAnsi="黑体" w:eastAsia="黑体"/>
        <w:b w:val="0"/>
        <w:sz w:val="32"/>
      </w:rPr>
    </w:lvl>
    <w:lvl w:ilvl="1" w:tentative="0">
      <w:start w:val="3"/>
      <w:numFmt w:val="japaneseCounting"/>
      <w:lvlText w:val="（%2）"/>
      <w:lvlJc w:val="left"/>
      <w:pPr>
        <w:ind w:left="1500" w:hanging="10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52F0FA8"/>
    <w:multiLevelType w:val="multilevel"/>
    <w:tmpl w:val="352F0FA8"/>
    <w:lvl w:ilvl="0" w:tentative="0">
      <w:start w:val="1"/>
      <w:numFmt w:val="chineseCountingThousand"/>
      <w:suff w:val="space"/>
      <w:lvlText w:val="第%1条  "/>
      <w:lvlJc w:val="left"/>
      <w:pPr>
        <w:ind w:left="0" w:firstLine="0"/>
      </w:pPr>
      <w:rPr>
        <w:rFonts w:hint="eastAsia" w:ascii="仿宋" w:hAnsi="仿宋" w:eastAsia="仿宋"/>
        <w:color w:val="auto"/>
        <w:sz w:val="30"/>
        <w:szCs w:val="30"/>
        <w:lang w:val="en-US"/>
      </w:rPr>
    </w:lvl>
    <w:lvl w:ilvl="1" w:tentative="0">
      <w:start w:val="1"/>
      <w:numFmt w:val="decimal"/>
      <w:lvlText w:val="（%2）"/>
      <w:lvlJc w:val="left"/>
      <w:pPr>
        <w:ind w:left="2943" w:hanging="1356"/>
      </w:pPr>
      <w:rPr>
        <w:rFonts w:hint="default"/>
      </w:rPr>
    </w:lvl>
    <w:lvl w:ilvl="2" w:tentative="0">
      <w:start w:val="1"/>
      <w:numFmt w:val="lowerRoman"/>
      <w:lvlText w:val="%3."/>
      <w:lvlJc w:val="right"/>
      <w:pPr>
        <w:tabs>
          <w:tab w:val="left" w:pos="2427"/>
        </w:tabs>
        <w:ind w:left="2427" w:hanging="420"/>
      </w:pPr>
    </w:lvl>
    <w:lvl w:ilvl="3" w:tentative="0">
      <w:start w:val="1"/>
      <w:numFmt w:val="decimal"/>
      <w:lvlText w:val="%4."/>
      <w:lvlJc w:val="left"/>
      <w:pPr>
        <w:tabs>
          <w:tab w:val="left" w:pos="2847"/>
        </w:tabs>
        <w:ind w:left="2847" w:hanging="420"/>
      </w:pPr>
    </w:lvl>
    <w:lvl w:ilvl="4" w:tentative="0">
      <w:start w:val="1"/>
      <w:numFmt w:val="lowerLetter"/>
      <w:lvlText w:val="%5)"/>
      <w:lvlJc w:val="left"/>
      <w:pPr>
        <w:tabs>
          <w:tab w:val="left" w:pos="3267"/>
        </w:tabs>
        <w:ind w:left="3267" w:hanging="420"/>
      </w:pPr>
    </w:lvl>
    <w:lvl w:ilvl="5" w:tentative="0">
      <w:start w:val="1"/>
      <w:numFmt w:val="lowerRoman"/>
      <w:lvlText w:val="%6."/>
      <w:lvlJc w:val="right"/>
      <w:pPr>
        <w:tabs>
          <w:tab w:val="left" w:pos="3687"/>
        </w:tabs>
        <w:ind w:left="3687" w:hanging="420"/>
      </w:pPr>
    </w:lvl>
    <w:lvl w:ilvl="6" w:tentative="0">
      <w:start w:val="1"/>
      <w:numFmt w:val="decimal"/>
      <w:lvlText w:val="%7."/>
      <w:lvlJc w:val="left"/>
      <w:pPr>
        <w:tabs>
          <w:tab w:val="left" w:pos="4107"/>
        </w:tabs>
        <w:ind w:left="4107" w:hanging="420"/>
      </w:pPr>
    </w:lvl>
    <w:lvl w:ilvl="7" w:tentative="0">
      <w:start w:val="1"/>
      <w:numFmt w:val="lowerLetter"/>
      <w:lvlText w:val="%8)"/>
      <w:lvlJc w:val="left"/>
      <w:pPr>
        <w:tabs>
          <w:tab w:val="left" w:pos="4527"/>
        </w:tabs>
        <w:ind w:left="4527" w:hanging="420"/>
      </w:pPr>
    </w:lvl>
    <w:lvl w:ilvl="8" w:tentative="0">
      <w:start w:val="1"/>
      <w:numFmt w:val="lowerRoman"/>
      <w:lvlText w:val="%9."/>
      <w:lvlJc w:val="right"/>
      <w:pPr>
        <w:tabs>
          <w:tab w:val="left" w:pos="4947"/>
        </w:tabs>
        <w:ind w:left="4947" w:hanging="420"/>
      </w:pPr>
    </w:lvl>
  </w:abstractNum>
  <w:abstractNum w:abstractNumId="2">
    <w:nsid w:val="4A0F6A15"/>
    <w:multiLevelType w:val="multilevel"/>
    <w:tmpl w:val="4A0F6A15"/>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C7A08D7"/>
    <w:multiLevelType w:val="multilevel"/>
    <w:tmpl w:val="5C7A08D7"/>
    <w:lvl w:ilvl="0" w:tentative="0">
      <w:start w:val="1"/>
      <w:numFmt w:val="japaneseCounting"/>
      <w:lvlText w:val="第%1节"/>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
    <w:nsid w:val="6123441A"/>
    <w:multiLevelType w:val="multilevel"/>
    <w:tmpl w:val="6123441A"/>
    <w:lvl w:ilvl="0" w:tentative="0">
      <w:start w:val="1"/>
      <w:numFmt w:val="chineseCountingThousand"/>
      <w:lvlText w:val="第%1条  "/>
      <w:lvlJc w:val="left"/>
      <w:pPr>
        <w:ind w:left="-145" w:firstLine="570"/>
      </w:pPr>
      <w:rPr>
        <w:rFonts w:hint="eastAsia" w:ascii="仿宋" w:hAnsi="仿宋" w:eastAsia="仿宋"/>
        <w:color w:val="auto"/>
        <w:sz w:val="32"/>
        <w:szCs w:val="32"/>
        <w:lang w:val="en-US"/>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5">
    <w:nsid w:val="624A02E5"/>
    <w:multiLevelType w:val="multilevel"/>
    <w:tmpl w:val="624A02E5"/>
    <w:lvl w:ilvl="0" w:tentative="0">
      <w:start w:val="1"/>
      <w:numFmt w:val="japaneseCounting"/>
      <w:pStyle w:val="4"/>
      <w:lvlText w:val="第%1节"/>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4C"/>
    <w:rsid w:val="000008C6"/>
    <w:rsid w:val="0000211F"/>
    <w:rsid w:val="00002214"/>
    <w:rsid w:val="00002801"/>
    <w:rsid w:val="00002FC8"/>
    <w:rsid w:val="0000435A"/>
    <w:rsid w:val="0000466F"/>
    <w:rsid w:val="00004EEF"/>
    <w:rsid w:val="00007D2B"/>
    <w:rsid w:val="000109A2"/>
    <w:rsid w:val="000111F6"/>
    <w:rsid w:val="00013032"/>
    <w:rsid w:val="00015733"/>
    <w:rsid w:val="00016E0B"/>
    <w:rsid w:val="00017DF8"/>
    <w:rsid w:val="000201F7"/>
    <w:rsid w:val="000205B7"/>
    <w:rsid w:val="00020EB5"/>
    <w:rsid w:val="00021775"/>
    <w:rsid w:val="0002185F"/>
    <w:rsid w:val="00021CB0"/>
    <w:rsid w:val="0002295B"/>
    <w:rsid w:val="000233A9"/>
    <w:rsid w:val="0002348C"/>
    <w:rsid w:val="000240EF"/>
    <w:rsid w:val="00024262"/>
    <w:rsid w:val="0002554F"/>
    <w:rsid w:val="00025C77"/>
    <w:rsid w:val="00025E9B"/>
    <w:rsid w:val="00026001"/>
    <w:rsid w:val="00026133"/>
    <w:rsid w:val="0002705E"/>
    <w:rsid w:val="0002762E"/>
    <w:rsid w:val="0002791D"/>
    <w:rsid w:val="00027985"/>
    <w:rsid w:val="0003025D"/>
    <w:rsid w:val="000308D1"/>
    <w:rsid w:val="000316F2"/>
    <w:rsid w:val="00031D8E"/>
    <w:rsid w:val="0003234E"/>
    <w:rsid w:val="00033357"/>
    <w:rsid w:val="00033F27"/>
    <w:rsid w:val="000343EB"/>
    <w:rsid w:val="00034E64"/>
    <w:rsid w:val="00034FD0"/>
    <w:rsid w:val="00035BBA"/>
    <w:rsid w:val="00036FA5"/>
    <w:rsid w:val="00037A98"/>
    <w:rsid w:val="00040108"/>
    <w:rsid w:val="00040D06"/>
    <w:rsid w:val="0004246C"/>
    <w:rsid w:val="00043181"/>
    <w:rsid w:val="00043524"/>
    <w:rsid w:val="00043AE0"/>
    <w:rsid w:val="00043BC8"/>
    <w:rsid w:val="00044BBB"/>
    <w:rsid w:val="00045213"/>
    <w:rsid w:val="000453B0"/>
    <w:rsid w:val="00045C70"/>
    <w:rsid w:val="000463F4"/>
    <w:rsid w:val="0004763A"/>
    <w:rsid w:val="00050AC5"/>
    <w:rsid w:val="00050DB2"/>
    <w:rsid w:val="00051744"/>
    <w:rsid w:val="000525BB"/>
    <w:rsid w:val="000528B7"/>
    <w:rsid w:val="00052A4F"/>
    <w:rsid w:val="0005414E"/>
    <w:rsid w:val="00054900"/>
    <w:rsid w:val="000549AD"/>
    <w:rsid w:val="00054F06"/>
    <w:rsid w:val="00055573"/>
    <w:rsid w:val="000558A1"/>
    <w:rsid w:val="00055E43"/>
    <w:rsid w:val="000560C3"/>
    <w:rsid w:val="00056499"/>
    <w:rsid w:val="00057135"/>
    <w:rsid w:val="00057138"/>
    <w:rsid w:val="000576E5"/>
    <w:rsid w:val="00057D4E"/>
    <w:rsid w:val="0006082B"/>
    <w:rsid w:val="00060AB1"/>
    <w:rsid w:val="0006185D"/>
    <w:rsid w:val="00061B57"/>
    <w:rsid w:val="00061FB3"/>
    <w:rsid w:val="00062A44"/>
    <w:rsid w:val="00062EBA"/>
    <w:rsid w:val="00063082"/>
    <w:rsid w:val="0006376F"/>
    <w:rsid w:val="000639C3"/>
    <w:rsid w:val="000644C6"/>
    <w:rsid w:val="000648C1"/>
    <w:rsid w:val="00064D57"/>
    <w:rsid w:val="00064E45"/>
    <w:rsid w:val="0006505D"/>
    <w:rsid w:val="00066EF7"/>
    <w:rsid w:val="00067365"/>
    <w:rsid w:val="00070341"/>
    <w:rsid w:val="00071A07"/>
    <w:rsid w:val="00071A71"/>
    <w:rsid w:val="0007200B"/>
    <w:rsid w:val="0007228C"/>
    <w:rsid w:val="0007245D"/>
    <w:rsid w:val="00073102"/>
    <w:rsid w:val="00073EAF"/>
    <w:rsid w:val="0007443D"/>
    <w:rsid w:val="000751F6"/>
    <w:rsid w:val="00076131"/>
    <w:rsid w:val="00076CCC"/>
    <w:rsid w:val="00077212"/>
    <w:rsid w:val="000776CB"/>
    <w:rsid w:val="00077766"/>
    <w:rsid w:val="000777E6"/>
    <w:rsid w:val="000777F4"/>
    <w:rsid w:val="00077E18"/>
    <w:rsid w:val="00080BF6"/>
    <w:rsid w:val="00080F09"/>
    <w:rsid w:val="000811B9"/>
    <w:rsid w:val="000812EF"/>
    <w:rsid w:val="000814A9"/>
    <w:rsid w:val="00083C6B"/>
    <w:rsid w:val="00084BA6"/>
    <w:rsid w:val="00085251"/>
    <w:rsid w:val="00085D2F"/>
    <w:rsid w:val="00086179"/>
    <w:rsid w:val="00086526"/>
    <w:rsid w:val="00086CAB"/>
    <w:rsid w:val="000870FD"/>
    <w:rsid w:val="00087609"/>
    <w:rsid w:val="0009051D"/>
    <w:rsid w:val="0009140D"/>
    <w:rsid w:val="00091E08"/>
    <w:rsid w:val="00092BFC"/>
    <w:rsid w:val="000932A4"/>
    <w:rsid w:val="0009364E"/>
    <w:rsid w:val="000943C6"/>
    <w:rsid w:val="00094C6C"/>
    <w:rsid w:val="00094D26"/>
    <w:rsid w:val="00095B4F"/>
    <w:rsid w:val="0009661B"/>
    <w:rsid w:val="000967B0"/>
    <w:rsid w:val="00096998"/>
    <w:rsid w:val="00096E52"/>
    <w:rsid w:val="000972D0"/>
    <w:rsid w:val="000976F8"/>
    <w:rsid w:val="000A0020"/>
    <w:rsid w:val="000A0A50"/>
    <w:rsid w:val="000A1C42"/>
    <w:rsid w:val="000A28B4"/>
    <w:rsid w:val="000A407F"/>
    <w:rsid w:val="000A554B"/>
    <w:rsid w:val="000A65B5"/>
    <w:rsid w:val="000A77A9"/>
    <w:rsid w:val="000A7CF3"/>
    <w:rsid w:val="000B03C3"/>
    <w:rsid w:val="000B20EF"/>
    <w:rsid w:val="000B2651"/>
    <w:rsid w:val="000B4D4E"/>
    <w:rsid w:val="000B5935"/>
    <w:rsid w:val="000B5AB6"/>
    <w:rsid w:val="000B60D0"/>
    <w:rsid w:val="000B661D"/>
    <w:rsid w:val="000B6CBA"/>
    <w:rsid w:val="000C019A"/>
    <w:rsid w:val="000C0355"/>
    <w:rsid w:val="000C0EA4"/>
    <w:rsid w:val="000C1AA2"/>
    <w:rsid w:val="000C30FB"/>
    <w:rsid w:val="000C31CB"/>
    <w:rsid w:val="000C338B"/>
    <w:rsid w:val="000C3CF2"/>
    <w:rsid w:val="000C3D4C"/>
    <w:rsid w:val="000C43D4"/>
    <w:rsid w:val="000C5AC3"/>
    <w:rsid w:val="000C668E"/>
    <w:rsid w:val="000C68C4"/>
    <w:rsid w:val="000C68F6"/>
    <w:rsid w:val="000C7D3F"/>
    <w:rsid w:val="000D01E1"/>
    <w:rsid w:val="000D1F1A"/>
    <w:rsid w:val="000D274D"/>
    <w:rsid w:val="000D3AB8"/>
    <w:rsid w:val="000D3DE8"/>
    <w:rsid w:val="000D474C"/>
    <w:rsid w:val="000D6A6A"/>
    <w:rsid w:val="000D6F76"/>
    <w:rsid w:val="000E01B2"/>
    <w:rsid w:val="000E05C8"/>
    <w:rsid w:val="000E0C7F"/>
    <w:rsid w:val="000E14D4"/>
    <w:rsid w:val="000E1DF1"/>
    <w:rsid w:val="000E1F80"/>
    <w:rsid w:val="000E20F0"/>
    <w:rsid w:val="000E374D"/>
    <w:rsid w:val="000E4832"/>
    <w:rsid w:val="000E5313"/>
    <w:rsid w:val="000E6AF4"/>
    <w:rsid w:val="000E6E72"/>
    <w:rsid w:val="000E72FE"/>
    <w:rsid w:val="000F0547"/>
    <w:rsid w:val="000F0989"/>
    <w:rsid w:val="000F0FBC"/>
    <w:rsid w:val="000F1371"/>
    <w:rsid w:val="000F1599"/>
    <w:rsid w:val="000F17B7"/>
    <w:rsid w:val="000F2BF2"/>
    <w:rsid w:val="000F2CA9"/>
    <w:rsid w:val="000F5E36"/>
    <w:rsid w:val="000F6465"/>
    <w:rsid w:val="000F6966"/>
    <w:rsid w:val="000F6FB4"/>
    <w:rsid w:val="000F7458"/>
    <w:rsid w:val="000F7540"/>
    <w:rsid w:val="000F783C"/>
    <w:rsid w:val="000F7923"/>
    <w:rsid w:val="000F7CC2"/>
    <w:rsid w:val="000F7DBA"/>
    <w:rsid w:val="00103124"/>
    <w:rsid w:val="00103F1B"/>
    <w:rsid w:val="001046CB"/>
    <w:rsid w:val="00104870"/>
    <w:rsid w:val="00105D87"/>
    <w:rsid w:val="0010653E"/>
    <w:rsid w:val="00106C4A"/>
    <w:rsid w:val="0010728A"/>
    <w:rsid w:val="0010743F"/>
    <w:rsid w:val="00107D64"/>
    <w:rsid w:val="00110B97"/>
    <w:rsid w:val="00110EAB"/>
    <w:rsid w:val="0011119F"/>
    <w:rsid w:val="00112E88"/>
    <w:rsid w:val="00113B84"/>
    <w:rsid w:val="00114EBA"/>
    <w:rsid w:val="0011517F"/>
    <w:rsid w:val="0011589B"/>
    <w:rsid w:val="00115C80"/>
    <w:rsid w:val="00117796"/>
    <w:rsid w:val="00120BBC"/>
    <w:rsid w:val="00122A81"/>
    <w:rsid w:val="001242C7"/>
    <w:rsid w:val="001258B3"/>
    <w:rsid w:val="001308B5"/>
    <w:rsid w:val="001317F0"/>
    <w:rsid w:val="00132049"/>
    <w:rsid w:val="00133473"/>
    <w:rsid w:val="00133BAE"/>
    <w:rsid w:val="00133E0C"/>
    <w:rsid w:val="00134419"/>
    <w:rsid w:val="00134CF2"/>
    <w:rsid w:val="00134F35"/>
    <w:rsid w:val="0013591C"/>
    <w:rsid w:val="00135930"/>
    <w:rsid w:val="00135B1A"/>
    <w:rsid w:val="00136234"/>
    <w:rsid w:val="0014002E"/>
    <w:rsid w:val="00140E65"/>
    <w:rsid w:val="0014156F"/>
    <w:rsid w:val="00142C56"/>
    <w:rsid w:val="001439E8"/>
    <w:rsid w:val="00144910"/>
    <w:rsid w:val="00144C58"/>
    <w:rsid w:val="00144F20"/>
    <w:rsid w:val="00145057"/>
    <w:rsid w:val="00146174"/>
    <w:rsid w:val="001468CE"/>
    <w:rsid w:val="00147317"/>
    <w:rsid w:val="0014744F"/>
    <w:rsid w:val="00147ABE"/>
    <w:rsid w:val="00152280"/>
    <w:rsid w:val="00152E26"/>
    <w:rsid w:val="00153260"/>
    <w:rsid w:val="001541BC"/>
    <w:rsid w:val="00154926"/>
    <w:rsid w:val="0015592D"/>
    <w:rsid w:val="00155A8F"/>
    <w:rsid w:val="001562F2"/>
    <w:rsid w:val="00160401"/>
    <w:rsid w:val="00160E51"/>
    <w:rsid w:val="00160FB0"/>
    <w:rsid w:val="0016131D"/>
    <w:rsid w:val="00161761"/>
    <w:rsid w:val="00161E6C"/>
    <w:rsid w:val="00163139"/>
    <w:rsid w:val="001633D1"/>
    <w:rsid w:val="00164A03"/>
    <w:rsid w:val="00167C1D"/>
    <w:rsid w:val="001704C2"/>
    <w:rsid w:val="001711BD"/>
    <w:rsid w:val="00171469"/>
    <w:rsid w:val="00172AB0"/>
    <w:rsid w:val="00173DFE"/>
    <w:rsid w:val="00176501"/>
    <w:rsid w:val="00177E64"/>
    <w:rsid w:val="00180AE0"/>
    <w:rsid w:val="001820BF"/>
    <w:rsid w:val="00183532"/>
    <w:rsid w:val="00183C0A"/>
    <w:rsid w:val="00184608"/>
    <w:rsid w:val="00185397"/>
    <w:rsid w:val="00185781"/>
    <w:rsid w:val="00185940"/>
    <w:rsid w:val="00185B31"/>
    <w:rsid w:val="00186823"/>
    <w:rsid w:val="00187503"/>
    <w:rsid w:val="00187E4C"/>
    <w:rsid w:val="0019023E"/>
    <w:rsid w:val="0019122E"/>
    <w:rsid w:val="0019210B"/>
    <w:rsid w:val="00192C78"/>
    <w:rsid w:val="001935EA"/>
    <w:rsid w:val="001935F9"/>
    <w:rsid w:val="00193E2F"/>
    <w:rsid w:val="00194285"/>
    <w:rsid w:val="001945E9"/>
    <w:rsid w:val="0019489B"/>
    <w:rsid w:val="001949D2"/>
    <w:rsid w:val="001953EC"/>
    <w:rsid w:val="001956D8"/>
    <w:rsid w:val="00195A21"/>
    <w:rsid w:val="00196CF7"/>
    <w:rsid w:val="001A0089"/>
    <w:rsid w:val="001A102E"/>
    <w:rsid w:val="001A18FB"/>
    <w:rsid w:val="001A1F95"/>
    <w:rsid w:val="001A2638"/>
    <w:rsid w:val="001A2B8B"/>
    <w:rsid w:val="001A459F"/>
    <w:rsid w:val="001A50A9"/>
    <w:rsid w:val="001A5469"/>
    <w:rsid w:val="001A5488"/>
    <w:rsid w:val="001A6E0E"/>
    <w:rsid w:val="001A7792"/>
    <w:rsid w:val="001A7D52"/>
    <w:rsid w:val="001B088A"/>
    <w:rsid w:val="001B12EE"/>
    <w:rsid w:val="001B16BF"/>
    <w:rsid w:val="001B2D02"/>
    <w:rsid w:val="001B390D"/>
    <w:rsid w:val="001B4A69"/>
    <w:rsid w:val="001B5BBC"/>
    <w:rsid w:val="001B6AF0"/>
    <w:rsid w:val="001C01B3"/>
    <w:rsid w:val="001C05B2"/>
    <w:rsid w:val="001C05EA"/>
    <w:rsid w:val="001C0DFA"/>
    <w:rsid w:val="001C180B"/>
    <w:rsid w:val="001C1E5F"/>
    <w:rsid w:val="001C2438"/>
    <w:rsid w:val="001C285D"/>
    <w:rsid w:val="001C2CF3"/>
    <w:rsid w:val="001C3B6B"/>
    <w:rsid w:val="001C54B9"/>
    <w:rsid w:val="001C5C96"/>
    <w:rsid w:val="001C6FC6"/>
    <w:rsid w:val="001C7750"/>
    <w:rsid w:val="001C7983"/>
    <w:rsid w:val="001C7C32"/>
    <w:rsid w:val="001D01D2"/>
    <w:rsid w:val="001D09A1"/>
    <w:rsid w:val="001D0EE9"/>
    <w:rsid w:val="001D11AE"/>
    <w:rsid w:val="001D11DF"/>
    <w:rsid w:val="001D1449"/>
    <w:rsid w:val="001D231A"/>
    <w:rsid w:val="001D235D"/>
    <w:rsid w:val="001D26FD"/>
    <w:rsid w:val="001D2700"/>
    <w:rsid w:val="001D284B"/>
    <w:rsid w:val="001D2F9E"/>
    <w:rsid w:val="001D3F94"/>
    <w:rsid w:val="001D4ABC"/>
    <w:rsid w:val="001D5554"/>
    <w:rsid w:val="001D6200"/>
    <w:rsid w:val="001D637E"/>
    <w:rsid w:val="001D6533"/>
    <w:rsid w:val="001E0110"/>
    <w:rsid w:val="001E0488"/>
    <w:rsid w:val="001E0598"/>
    <w:rsid w:val="001E099C"/>
    <w:rsid w:val="001E0BB8"/>
    <w:rsid w:val="001E0E97"/>
    <w:rsid w:val="001E2EC3"/>
    <w:rsid w:val="001E352A"/>
    <w:rsid w:val="001E44BE"/>
    <w:rsid w:val="001E57A2"/>
    <w:rsid w:val="001E5819"/>
    <w:rsid w:val="001E587F"/>
    <w:rsid w:val="001E6D48"/>
    <w:rsid w:val="001E7F9C"/>
    <w:rsid w:val="001F0CD2"/>
    <w:rsid w:val="001F18C2"/>
    <w:rsid w:val="001F3195"/>
    <w:rsid w:val="001F3A63"/>
    <w:rsid w:val="001F3C9F"/>
    <w:rsid w:val="001F4485"/>
    <w:rsid w:val="001F66EC"/>
    <w:rsid w:val="001F73B8"/>
    <w:rsid w:val="001F79AA"/>
    <w:rsid w:val="00200540"/>
    <w:rsid w:val="00201FC2"/>
    <w:rsid w:val="00201FDD"/>
    <w:rsid w:val="002021A6"/>
    <w:rsid w:val="002025C2"/>
    <w:rsid w:val="00202E2B"/>
    <w:rsid w:val="002038F6"/>
    <w:rsid w:val="002042BE"/>
    <w:rsid w:val="002068BA"/>
    <w:rsid w:val="0020759B"/>
    <w:rsid w:val="00210272"/>
    <w:rsid w:val="00211BF5"/>
    <w:rsid w:val="0021202A"/>
    <w:rsid w:val="0021227F"/>
    <w:rsid w:val="002160AD"/>
    <w:rsid w:val="00216708"/>
    <w:rsid w:val="00217093"/>
    <w:rsid w:val="0021714E"/>
    <w:rsid w:val="00217B0A"/>
    <w:rsid w:val="002202F9"/>
    <w:rsid w:val="00221A7E"/>
    <w:rsid w:val="00221C14"/>
    <w:rsid w:val="00222151"/>
    <w:rsid w:val="00222548"/>
    <w:rsid w:val="002239B5"/>
    <w:rsid w:val="00223F3D"/>
    <w:rsid w:val="00223FD3"/>
    <w:rsid w:val="002241B8"/>
    <w:rsid w:val="0022443E"/>
    <w:rsid w:val="00224B9E"/>
    <w:rsid w:val="002262E0"/>
    <w:rsid w:val="00226303"/>
    <w:rsid w:val="00227365"/>
    <w:rsid w:val="002275D6"/>
    <w:rsid w:val="00230D5A"/>
    <w:rsid w:val="0023366F"/>
    <w:rsid w:val="002340A2"/>
    <w:rsid w:val="00234811"/>
    <w:rsid w:val="00235203"/>
    <w:rsid w:val="00235733"/>
    <w:rsid w:val="00235C81"/>
    <w:rsid w:val="00235EA9"/>
    <w:rsid w:val="002361E0"/>
    <w:rsid w:val="00236863"/>
    <w:rsid w:val="00237403"/>
    <w:rsid w:val="00237737"/>
    <w:rsid w:val="00237CCD"/>
    <w:rsid w:val="00237F5A"/>
    <w:rsid w:val="00241158"/>
    <w:rsid w:val="00241872"/>
    <w:rsid w:val="00241D3D"/>
    <w:rsid w:val="00241F0C"/>
    <w:rsid w:val="00243B68"/>
    <w:rsid w:val="00245FCA"/>
    <w:rsid w:val="00246459"/>
    <w:rsid w:val="002465C4"/>
    <w:rsid w:val="0024697D"/>
    <w:rsid w:val="00246F0C"/>
    <w:rsid w:val="002478A9"/>
    <w:rsid w:val="00250A17"/>
    <w:rsid w:val="00250F70"/>
    <w:rsid w:val="00251241"/>
    <w:rsid w:val="002529F1"/>
    <w:rsid w:val="00252E14"/>
    <w:rsid w:val="0025347E"/>
    <w:rsid w:val="0025414C"/>
    <w:rsid w:val="0025427B"/>
    <w:rsid w:val="00254428"/>
    <w:rsid w:val="002548EE"/>
    <w:rsid w:val="00255098"/>
    <w:rsid w:val="00255378"/>
    <w:rsid w:val="00255F38"/>
    <w:rsid w:val="002564DB"/>
    <w:rsid w:val="002570F0"/>
    <w:rsid w:val="0026080B"/>
    <w:rsid w:val="00260827"/>
    <w:rsid w:val="0026085B"/>
    <w:rsid w:val="00260BA0"/>
    <w:rsid w:val="00261280"/>
    <w:rsid w:val="00261714"/>
    <w:rsid w:val="00261C1B"/>
    <w:rsid w:val="002621D5"/>
    <w:rsid w:val="00263BE9"/>
    <w:rsid w:val="002643CB"/>
    <w:rsid w:val="00264C49"/>
    <w:rsid w:val="00265168"/>
    <w:rsid w:val="00266207"/>
    <w:rsid w:val="002707A0"/>
    <w:rsid w:val="00270B80"/>
    <w:rsid w:val="00270BC1"/>
    <w:rsid w:val="00270D48"/>
    <w:rsid w:val="00271310"/>
    <w:rsid w:val="002715CA"/>
    <w:rsid w:val="0027208F"/>
    <w:rsid w:val="00272138"/>
    <w:rsid w:val="00273D45"/>
    <w:rsid w:val="0027420D"/>
    <w:rsid w:val="002743AA"/>
    <w:rsid w:val="00274A72"/>
    <w:rsid w:val="002754AA"/>
    <w:rsid w:val="00275688"/>
    <w:rsid w:val="002765BA"/>
    <w:rsid w:val="002771DD"/>
    <w:rsid w:val="00277EA3"/>
    <w:rsid w:val="00281501"/>
    <w:rsid w:val="002815DE"/>
    <w:rsid w:val="00282963"/>
    <w:rsid w:val="00282D31"/>
    <w:rsid w:val="00283B31"/>
    <w:rsid w:val="00284AE2"/>
    <w:rsid w:val="0028575C"/>
    <w:rsid w:val="00285885"/>
    <w:rsid w:val="00285D96"/>
    <w:rsid w:val="00285DAF"/>
    <w:rsid w:val="0028640C"/>
    <w:rsid w:val="00287E42"/>
    <w:rsid w:val="0029025A"/>
    <w:rsid w:val="002910F2"/>
    <w:rsid w:val="00291A69"/>
    <w:rsid w:val="002920A3"/>
    <w:rsid w:val="00292404"/>
    <w:rsid w:val="0029306C"/>
    <w:rsid w:val="002935E6"/>
    <w:rsid w:val="00294432"/>
    <w:rsid w:val="0029587B"/>
    <w:rsid w:val="002960FA"/>
    <w:rsid w:val="00296A2D"/>
    <w:rsid w:val="00296AA2"/>
    <w:rsid w:val="002A097F"/>
    <w:rsid w:val="002A0EF9"/>
    <w:rsid w:val="002A3AB0"/>
    <w:rsid w:val="002A410D"/>
    <w:rsid w:val="002A647D"/>
    <w:rsid w:val="002B1276"/>
    <w:rsid w:val="002B2359"/>
    <w:rsid w:val="002B2DB4"/>
    <w:rsid w:val="002B3537"/>
    <w:rsid w:val="002B3FFB"/>
    <w:rsid w:val="002B44A3"/>
    <w:rsid w:val="002B57EF"/>
    <w:rsid w:val="002B5F57"/>
    <w:rsid w:val="002B69C0"/>
    <w:rsid w:val="002C0E07"/>
    <w:rsid w:val="002C1034"/>
    <w:rsid w:val="002C1FB5"/>
    <w:rsid w:val="002C275B"/>
    <w:rsid w:val="002C2BB8"/>
    <w:rsid w:val="002C41F9"/>
    <w:rsid w:val="002C541B"/>
    <w:rsid w:val="002C5F1B"/>
    <w:rsid w:val="002C6B66"/>
    <w:rsid w:val="002D01A1"/>
    <w:rsid w:val="002D0398"/>
    <w:rsid w:val="002D05C3"/>
    <w:rsid w:val="002D07CB"/>
    <w:rsid w:val="002D3CA0"/>
    <w:rsid w:val="002D4F71"/>
    <w:rsid w:val="002D53D1"/>
    <w:rsid w:val="002D63EF"/>
    <w:rsid w:val="002D7C46"/>
    <w:rsid w:val="002E15A3"/>
    <w:rsid w:val="002E2EE8"/>
    <w:rsid w:val="002E323A"/>
    <w:rsid w:val="002E36F2"/>
    <w:rsid w:val="002E4523"/>
    <w:rsid w:val="002E5492"/>
    <w:rsid w:val="002E562B"/>
    <w:rsid w:val="002E64F0"/>
    <w:rsid w:val="002E775F"/>
    <w:rsid w:val="002E791F"/>
    <w:rsid w:val="002F01C3"/>
    <w:rsid w:val="002F0816"/>
    <w:rsid w:val="002F0B78"/>
    <w:rsid w:val="002F1358"/>
    <w:rsid w:val="002F1379"/>
    <w:rsid w:val="002F1DA4"/>
    <w:rsid w:val="002F26FD"/>
    <w:rsid w:val="002F2A72"/>
    <w:rsid w:val="002F2DF3"/>
    <w:rsid w:val="002F2E61"/>
    <w:rsid w:val="002F3D4E"/>
    <w:rsid w:val="002F3F4B"/>
    <w:rsid w:val="002F47AC"/>
    <w:rsid w:val="002F57ED"/>
    <w:rsid w:val="002F5BAC"/>
    <w:rsid w:val="002F5F6F"/>
    <w:rsid w:val="002F761E"/>
    <w:rsid w:val="002F7EB1"/>
    <w:rsid w:val="003010F4"/>
    <w:rsid w:val="0030209E"/>
    <w:rsid w:val="00302971"/>
    <w:rsid w:val="00303B7B"/>
    <w:rsid w:val="00304E27"/>
    <w:rsid w:val="00304F6A"/>
    <w:rsid w:val="0030522D"/>
    <w:rsid w:val="0030530E"/>
    <w:rsid w:val="0030598F"/>
    <w:rsid w:val="003061A3"/>
    <w:rsid w:val="00306A5D"/>
    <w:rsid w:val="003070AA"/>
    <w:rsid w:val="00307127"/>
    <w:rsid w:val="0030741E"/>
    <w:rsid w:val="00310228"/>
    <w:rsid w:val="00310672"/>
    <w:rsid w:val="003109DB"/>
    <w:rsid w:val="00311EC4"/>
    <w:rsid w:val="00312710"/>
    <w:rsid w:val="00313318"/>
    <w:rsid w:val="00314C7E"/>
    <w:rsid w:val="00314CCB"/>
    <w:rsid w:val="00315C4B"/>
    <w:rsid w:val="00315E0F"/>
    <w:rsid w:val="0031606C"/>
    <w:rsid w:val="00316760"/>
    <w:rsid w:val="003169CE"/>
    <w:rsid w:val="003178E7"/>
    <w:rsid w:val="003200C4"/>
    <w:rsid w:val="00320688"/>
    <w:rsid w:val="00320A72"/>
    <w:rsid w:val="00321696"/>
    <w:rsid w:val="003217E7"/>
    <w:rsid w:val="00321C45"/>
    <w:rsid w:val="00321ED9"/>
    <w:rsid w:val="0032338A"/>
    <w:rsid w:val="00323963"/>
    <w:rsid w:val="003248E8"/>
    <w:rsid w:val="00325580"/>
    <w:rsid w:val="0032586F"/>
    <w:rsid w:val="0032668F"/>
    <w:rsid w:val="003269BA"/>
    <w:rsid w:val="003276A9"/>
    <w:rsid w:val="003310D9"/>
    <w:rsid w:val="0033145C"/>
    <w:rsid w:val="00332E88"/>
    <w:rsid w:val="003343B8"/>
    <w:rsid w:val="003345F1"/>
    <w:rsid w:val="00335CF1"/>
    <w:rsid w:val="00335E7C"/>
    <w:rsid w:val="00335ED3"/>
    <w:rsid w:val="003360AE"/>
    <w:rsid w:val="00337A0E"/>
    <w:rsid w:val="00340380"/>
    <w:rsid w:val="00340FDF"/>
    <w:rsid w:val="003417B7"/>
    <w:rsid w:val="00341868"/>
    <w:rsid w:val="00342CC6"/>
    <w:rsid w:val="00343845"/>
    <w:rsid w:val="00343C27"/>
    <w:rsid w:val="003453D7"/>
    <w:rsid w:val="003478CA"/>
    <w:rsid w:val="003506DF"/>
    <w:rsid w:val="00350779"/>
    <w:rsid w:val="00350E71"/>
    <w:rsid w:val="00351685"/>
    <w:rsid w:val="003518FE"/>
    <w:rsid w:val="00352EC0"/>
    <w:rsid w:val="00353541"/>
    <w:rsid w:val="00353804"/>
    <w:rsid w:val="00354160"/>
    <w:rsid w:val="00354D00"/>
    <w:rsid w:val="0035576B"/>
    <w:rsid w:val="00355E3A"/>
    <w:rsid w:val="003565DC"/>
    <w:rsid w:val="00357C30"/>
    <w:rsid w:val="00360757"/>
    <w:rsid w:val="00360EE4"/>
    <w:rsid w:val="003611FD"/>
    <w:rsid w:val="00361B44"/>
    <w:rsid w:val="0036215E"/>
    <w:rsid w:val="0036278E"/>
    <w:rsid w:val="00362C63"/>
    <w:rsid w:val="0036431E"/>
    <w:rsid w:val="00364A9B"/>
    <w:rsid w:val="00365EC3"/>
    <w:rsid w:val="00366285"/>
    <w:rsid w:val="003666BD"/>
    <w:rsid w:val="003675BF"/>
    <w:rsid w:val="0037138F"/>
    <w:rsid w:val="00371CD8"/>
    <w:rsid w:val="00372694"/>
    <w:rsid w:val="0037337F"/>
    <w:rsid w:val="00374907"/>
    <w:rsid w:val="00375C2F"/>
    <w:rsid w:val="00376C54"/>
    <w:rsid w:val="00377D38"/>
    <w:rsid w:val="00380287"/>
    <w:rsid w:val="0038093D"/>
    <w:rsid w:val="0038115A"/>
    <w:rsid w:val="00381363"/>
    <w:rsid w:val="00381393"/>
    <w:rsid w:val="003813DB"/>
    <w:rsid w:val="003817E3"/>
    <w:rsid w:val="00382860"/>
    <w:rsid w:val="00382A21"/>
    <w:rsid w:val="00382C41"/>
    <w:rsid w:val="00382D63"/>
    <w:rsid w:val="0038312E"/>
    <w:rsid w:val="00384A7C"/>
    <w:rsid w:val="00384E75"/>
    <w:rsid w:val="00386B27"/>
    <w:rsid w:val="00386BD4"/>
    <w:rsid w:val="00390CB5"/>
    <w:rsid w:val="003911AB"/>
    <w:rsid w:val="00391C06"/>
    <w:rsid w:val="003920ED"/>
    <w:rsid w:val="00394151"/>
    <w:rsid w:val="00394637"/>
    <w:rsid w:val="00394710"/>
    <w:rsid w:val="00394746"/>
    <w:rsid w:val="0039594A"/>
    <w:rsid w:val="00397484"/>
    <w:rsid w:val="003977A7"/>
    <w:rsid w:val="00397FDF"/>
    <w:rsid w:val="003A02EC"/>
    <w:rsid w:val="003A0456"/>
    <w:rsid w:val="003A0519"/>
    <w:rsid w:val="003A1464"/>
    <w:rsid w:val="003A1BFB"/>
    <w:rsid w:val="003A2037"/>
    <w:rsid w:val="003A2AAA"/>
    <w:rsid w:val="003A2AFB"/>
    <w:rsid w:val="003A383B"/>
    <w:rsid w:val="003A3C7C"/>
    <w:rsid w:val="003A3CA7"/>
    <w:rsid w:val="003A3E3B"/>
    <w:rsid w:val="003A4433"/>
    <w:rsid w:val="003A69A0"/>
    <w:rsid w:val="003A72FA"/>
    <w:rsid w:val="003B00E1"/>
    <w:rsid w:val="003B0934"/>
    <w:rsid w:val="003B154E"/>
    <w:rsid w:val="003B1575"/>
    <w:rsid w:val="003B1828"/>
    <w:rsid w:val="003B2EA3"/>
    <w:rsid w:val="003B3184"/>
    <w:rsid w:val="003B40F6"/>
    <w:rsid w:val="003B42EA"/>
    <w:rsid w:val="003B4885"/>
    <w:rsid w:val="003B4EDC"/>
    <w:rsid w:val="003B55CB"/>
    <w:rsid w:val="003B5687"/>
    <w:rsid w:val="003B62F5"/>
    <w:rsid w:val="003B6563"/>
    <w:rsid w:val="003B67D6"/>
    <w:rsid w:val="003B6CAB"/>
    <w:rsid w:val="003B7185"/>
    <w:rsid w:val="003C0513"/>
    <w:rsid w:val="003C08EC"/>
    <w:rsid w:val="003C09CC"/>
    <w:rsid w:val="003C1088"/>
    <w:rsid w:val="003C30F8"/>
    <w:rsid w:val="003C3E85"/>
    <w:rsid w:val="003C49CB"/>
    <w:rsid w:val="003C4B98"/>
    <w:rsid w:val="003C5596"/>
    <w:rsid w:val="003D1159"/>
    <w:rsid w:val="003D15C2"/>
    <w:rsid w:val="003D2D1B"/>
    <w:rsid w:val="003D364D"/>
    <w:rsid w:val="003D38CA"/>
    <w:rsid w:val="003D46E8"/>
    <w:rsid w:val="003D4BD7"/>
    <w:rsid w:val="003D4E62"/>
    <w:rsid w:val="003D5472"/>
    <w:rsid w:val="003D6203"/>
    <w:rsid w:val="003D6D6F"/>
    <w:rsid w:val="003D72CC"/>
    <w:rsid w:val="003D7435"/>
    <w:rsid w:val="003D7F5C"/>
    <w:rsid w:val="003E0694"/>
    <w:rsid w:val="003E0753"/>
    <w:rsid w:val="003E0923"/>
    <w:rsid w:val="003E0A52"/>
    <w:rsid w:val="003E0C35"/>
    <w:rsid w:val="003E0F53"/>
    <w:rsid w:val="003E1063"/>
    <w:rsid w:val="003E1064"/>
    <w:rsid w:val="003E1D75"/>
    <w:rsid w:val="003E2A23"/>
    <w:rsid w:val="003E2C75"/>
    <w:rsid w:val="003E441E"/>
    <w:rsid w:val="003E4482"/>
    <w:rsid w:val="003E44E1"/>
    <w:rsid w:val="003E643A"/>
    <w:rsid w:val="003E710C"/>
    <w:rsid w:val="003E75F2"/>
    <w:rsid w:val="003F019E"/>
    <w:rsid w:val="003F20E1"/>
    <w:rsid w:val="003F21A6"/>
    <w:rsid w:val="003F2315"/>
    <w:rsid w:val="003F2D71"/>
    <w:rsid w:val="003F37A4"/>
    <w:rsid w:val="003F3CAB"/>
    <w:rsid w:val="003F4941"/>
    <w:rsid w:val="003F4A10"/>
    <w:rsid w:val="003F51AA"/>
    <w:rsid w:val="003F52E2"/>
    <w:rsid w:val="003F59EE"/>
    <w:rsid w:val="003F5C11"/>
    <w:rsid w:val="003F61D3"/>
    <w:rsid w:val="003F7885"/>
    <w:rsid w:val="00400432"/>
    <w:rsid w:val="00401AB8"/>
    <w:rsid w:val="00402373"/>
    <w:rsid w:val="004024B3"/>
    <w:rsid w:val="00402B27"/>
    <w:rsid w:val="00403ABD"/>
    <w:rsid w:val="004040D3"/>
    <w:rsid w:val="00405BC6"/>
    <w:rsid w:val="004061DB"/>
    <w:rsid w:val="0040704F"/>
    <w:rsid w:val="004071FF"/>
    <w:rsid w:val="00411491"/>
    <w:rsid w:val="0041157F"/>
    <w:rsid w:val="004127EA"/>
    <w:rsid w:val="00413CDE"/>
    <w:rsid w:val="00416620"/>
    <w:rsid w:val="004168BC"/>
    <w:rsid w:val="00417521"/>
    <w:rsid w:val="00417A8A"/>
    <w:rsid w:val="004200C1"/>
    <w:rsid w:val="0042018B"/>
    <w:rsid w:val="00420BD6"/>
    <w:rsid w:val="00420ED9"/>
    <w:rsid w:val="00421D1E"/>
    <w:rsid w:val="00421D2B"/>
    <w:rsid w:val="0042337A"/>
    <w:rsid w:val="00423406"/>
    <w:rsid w:val="0042508A"/>
    <w:rsid w:val="004253E3"/>
    <w:rsid w:val="0042546A"/>
    <w:rsid w:val="0042649F"/>
    <w:rsid w:val="00427460"/>
    <w:rsid w:val="0043077B"/>
    <w:rsid w:val="004313DE"/>
    <w:rsid w:val="00431EF6"/>
    <w:rsid w:val="004320F8"/>
    <w:rsid w:val="00432BF7"/>
    <w:rsid w:val="00433045"/>
    <w:rsid w:val="00433160"/>
    <w:rsid w:val="004336C6"/>
    <w:rsid w:val="00434030"/>
    <w:rsid w:val="00434632"/>
    <w:rsid w:val="0043468E"/>
    <w:rsid w:val="004354D7"/>
    <w:rsid w:val="004368B1"/>
    <w:rsid w:val="00436E0C"/>
    <w:rsid w:val="004373C3"/>
    <w:rsid w:val="00437C51"/>
    <w:rsid w:val="00440024"/>
    <w:rsid w:val="0044022C"/>
    <w:rsid w:val="004409BF"/>
    <w:rsid w:val="004411F9"/>
    <w:rsid w:val="00442CAF"/>
    <w:rsid w:val="00442D73"/>
    <w:rsid w:val="00442E1C"/>
    <w:rsid w:val="00443B0E"/>
    <w:rsid w:val="00444AAD"/>
    <w:rsid w:val="00444AB8"/>
    <w:rsid w:val="00444D1E"/>
    <w:rsid w:val="004457D6"/>
    <w:rsid w:val="00445C57"/>
    <w:rsid w:val="00446737"/>
    <w:rsid w:val="0044712E"/>
    <w:rsid w:val="00447CB2"/>
    <w:rsid w:val="00450510"/>
    <w:rsid w:val="004523E9"/>
    <w:rsid w:val="00452779"/>
    <w:rsid w:val="00455D86"/>
    <w:rsid w:val="00456A6F"/>
    <w:rsid w:val="0045718A"/>
    <w:rsid w:val="00457B03"/>
    <w:rsid w:val="00457C8B"/>
    <w:rsid w:val="00457C9A"/>
    <w:rsid w:val="00461644"/>
    <w:rsid w:val="004651C0"/>
    <w:rsid w:val="004663CE"/>
    <w:rsid w:val="0046781A"/>
    <w:rsid w:val="004678C7"/>
    <w:rsid w:val="00470AB4"/>
    <w:rsid w:val="0047125C"/>
    <w:rsid w:val="00473352"/>
    <w:rsid w:val="004754D6"/>
    <w:rsid w:val="00476E7E"/>
    <w:rsid w:val="00477B50"/>
    <w:rsid w:val="004808FD"/>
    <w:rsid w:val="00481829"/>
    <w:rsid w:val="004819DA"/>
    <w:rsid w:val="00481BE8"/>
    <w:rsid w:val="00481F50"/>
    <w:rsid w:val="0048359C"/>
    <w:rsid w:val="00484189"/>
    <w:rsid w:val="00485375"/>
    <w:rsid w:val="0048567D"/>
    <w:rsid w:val="00485C32"/>
    <w:rsid w:val="00486094"/>
    <w:rsid w:val="00486E10"/>
    <w:rsid w:val="00486EB1"/>
    <w:rsid w:val="00487861"/>
    <w:rsid w:val="00487961"/>
    <w:rsid w:val="00491174"/>
    <w:rsid w:val="0049147F"/>
    <w:rsid w:val="00491A8F"/>
    <w:rsid w:val="00491BEA"/>
    <w:rsid w:val="0049202D"/>
    <w:rsid w:val="00492460"/>
    <w:rsid w:val="0049285B"/>
    <w:rsid w:val="00492BF8"/>
    <w:rsid w:val="00492E9C"/>
    <w:rsid w:val="00494BB0"/>
    <w:rsid w:val="004951A4"/>
    <w:rsid w:val="0049552D"/>
    <w:rsid w:val="004971BE"/>
    <w:rsid w:val="004976E5"/>
    <w:rsid w:val="004977CE"/>
    <w:rsid w:val="004A0842"/>
    <w:rsid w:val="004A3A5F"/>
    <w:rsid w:val="004A414E"/>
    <w:rsid w:val="004A4C06"/>
    <w:rsid w:val="004A4C0A"/>
    <w:rsid w:val="004A591D"/>
    <w:rsid w:val="004A677F"/>
    <w:rsid w:val="004A740C"/>
    <w:rsid w:val="004B06C6"/>
    <w:rsid w:val="004B1806"/>
    <w:rsid w:val="004B4C67"/>
    <w:rsid w:val="004B5926"/>
    <w:rsid w:val="004B5A57"/>
    <w:rsid w:val="004B63F0"/>
    <w:rsid w:val="004B6593"/>
    <w:rsid w:val="004B6828"/>
    <w:rsid w:val="004B6BFF"/>
    <w:rsid w:val="004B79A2"/>
    <w:rsid w:val="004B7C5D"/>
    <w:rsid w:val="004C00A7"/>
    <w:rsid w:val="004C0CDC"/>
    <w:rsid w:val="004C142B"/>
    <w:rsid w:val="004C158C"/>
    <w:rsid w:val="004C162F"/>
    <w:rsid w:val="004C2890"/>
    <w:rsid w:val="004C2D1B"/>
    <w:rsid w:val="004C3189"/>
    <w:rsid w:val="004C4184"/>
    <w:rsid w:val="004C4BFF"/>
    <w:rsid w:val="004C4FD7"/>
    <w:rsid w:val="004C55A5"/>
    <w:rsid w:val="004C68F6"/>
    <w:rsid w:val="004C732D"/>
    <w:rsid w:val="004D09FC"/>
    <w:rsid w:val="004D151C"/>
    <w:rsid w:val="004D1622"/>
    <w:rsid w:val="004D47AA"/>
    <w:rsid w:val="004D5431"/>
    <w:rsid w:val="004D62DC"/>
    <w:rsid w:val="004E0BA0"/>
    <w:rsid w:val="004E0DE5"/>
    <w:rsid w:val="004E19CD"/>
    <w:rsid w:val="004E1C56"/>
    <w:rsid w:val="004E53E9"/>
    <w:rsid w:val="004E61B9"/>
    <w:rsid w:val="004E7EA9"/>
    <w:rsid w:val="004F1003"/>
    <w:rsid w:val="004F1082"/>
    <w:rsid w:val="004F175C"/>
    <w:rsid w:val="004F213B"/>
    <w:rsid w:val="004F274D"/>
    <w:rsid w:val="004F3985"/>
    <w:rsid w:val="004F3B4F"/>
    <w:rsid w:val="004F3C27"/>
    <w:rsid w:val="004F3C96"/>
    <w:rsid w:val="004F3D58"/>
    <w:rsid w:val="004F5C87"/>
    <w:rsid w:val="004F6C94"/>
    <w:rsid w:val="004F6D10"/>
    <w:rsid w:val="004F7050"/>
    <w:rsid w:val="004F7192"/>
    <w:rsid w:val="004F719C"/>
    <w:rsid w:val="004F76D6"/>
    <w:rsid w:val="004F7A4A"/>
    <w:rsid w:val="00500364"/>
    <w:rsid w:val="00501965"/>
    <w:rsid w:val="00501E8C"/>
    <w:rsid w:val="00502DCD"/>
    <w:rsid w:val="00503ACE"/>
    <w:rsid w:val="0050406B"/>
    <w:rsid w:val="00504DDB"/>
    <w:rsid w:val="00505042"/>
    <w:rsid w:val="005069F0"/>
    <w:rsid w:val="00507A4B"/>
    <w:rsid w:val="00507AC1"/>
    <w:rsid w:val="00510C78"/>
    <w:rsid w:val="0051118F"/>
    <w:rsid w:val="005124FD"/>
    <w:rsid w:val="00513700"/>
    <w:rsid w:val="00516009"/>
    <w:rsid w:val="00516997"/>
    <w:rsid w:val="005175EA"/>
    <w:rsid w:val="00520755"/>
    <w:rsid w:val="005213CD"/>
    <w:rsid w:val="00521F0C"/>
    <w:rsid w:val="00522736"/>
    <w:rsid w:val="005232CF"/>
    <w:rsid w:val="00523321"/>
    <w:rsid w:val="005238A9"/>
    <w:rsid w:val="00523C19"/>
    <w:rsid w:val="0052428E"/>
    <w:rsid w:val="00524740"/>
    <w:rsid w:val="00525A49"/>
    <w:rsid w:val="005263C8"/>
    <w:rsid w:val="0052656D"/>
    <w:rsid w:val="00526D52"/>
    <w:rsid w:val="005300FC"/>
    <w:rsid w:val="00531EA3"/>
    <w:rsid w:val="00532605"/>
    <w:rsid w:val="0053385E"/>
    <w:rsid w:val="005340E8"/>
    <w:rsid w:val="00534696"/>
    <w:rsid w:val="00534877"/>
    <w:rsid w:val="0053613A"/>
    <w:rsid w:val="0053690B"/>
    <w:rsid w:val="00536BCA"/>
    <w:rsid w:val="00537C76"/>
    <w:rsid w:val="00540195"/>
    <w:rsid w:val="00540E39"/>
    <w:rsid w:val="00541214"/>
    <w:rsid w:val="00541308"/>
    <w:rsid w:val="00541CFE"/>
    <w:rsid w:val="00541EF8"/>
    <w:rsid w:val="00542CFA"/>
    <w:rsid w:val="00543293"/>
    <w:rsid w:val="0054524A"/>
    <w:rsid w:val="005453D9"/>
    <w:rsid w:val="00546E12"/>
    <w:rsid w:val="00547B07"/>
    <w:rsid w:val="0055178F"/>
    <w:rsid w:val="00553FD2"/>
    <w:rsid w:val="005542A1"/>
    <w:rsid w:val="005548A5"/>
    <w:rsid w:val="00556749"/>
    <w:rsid w:val="00556B26"/>
    <w:rsid w:val="00557D5F"/>
    <w:rsid w:val="005606E9"/>
    <w:rsid w:val="005633D7"/>
    <w:rsid w:val="00563425"/>
    <w:rsid w:val="005637D5"/>
    <w:rsid w:val="00563F46"/>
    <w:rsid w:val="005652EE"/>
    <w:rsid w:val="00566A9B"/>
    <w:rsid w:val="00566A9E"/>
    <w:rsid w:val="00566AC6"/>
    <w:rsid w:val="005675AA"/>
    <w:rsid w:val="00567E97"/>
    <w:rsid w:val="00570025"/>
    <w:rsid w:val="005706C4"/>
    <w:rsid w:val="0057276E"/>
    <w:rsid w:val="0057283B"/>
    <w:rsid w:val="005745F0"/>
    <w:rsid w:val="0057554E"/>
    <w:rsid w:val="00575629"/>
    <w:rsid w:val="00576BC4"/>
    <w:rsid w:val="005771FA"/>
    <w:rsid w:val="00577C0A"/>
    <w:rsid w:val="00580442"/>
    <w:rsid w:val="00580910"/>
    <w:rsid w:val="00580B3B"/>
    <w:rsid w:val="00581B04"/>
    <w:rsid w:val="00582542"/>
    <w:rsid w:val="00582B82"/>
    <w:rsid w:val="005830E4"/>
    <w:rsid w:val="00584B66"/>
    <w:rsid w:val="00586917"/>
    <w:rsid w:val="0058774E"/>
    <w:rsid w:val="00587F30"/>
    <w:rsid w:val="0059078F"/>
    <w:rsid w:val="00590D19"/>
    <w:rsid w:val="005917FF"/>
    <w:rsid w:val="00592E96"/>
    <w:rsid w:val="00593B6B"/>
    <w:rsid w:val="00594846"/>
    <w:rsid w:val="005953A1"/>
    <w:rsid w:val="00595437"/>
    <w:rsid w:val="00595A43"/>
    <w:rsid w:val="00595AA0"/>
    <w:rsid w:val="00596C77"/>
    <w:rsid w:val="00596F29"/>
    <w:rsid w:val="005A0032"/>
    <w:rsid w:val="005A041F"/>
    <w:rsid w:val="005A0740"/>
    <w:rsid w:val="005A12C7"/>
    <w:rsid w:val="005A1468"/>
    <w:rsid w:val="005A1769"/>
    <w:rsid w:val="005A398C"/>
    <w:rsid w:val="005A3B10"/>
    <w:rsid w:val="005A48E2"/>
    <w:rsid w:val="005A4BF1"/>
    <w:rsid w:val="005A5656"/>
    <w:rsid w:val="005A58E3"/>
    <w:rsid w:val="005A65AE"/>
    <w:rsid w:val="005B036A"/>
    <w:rsid w:val="005B126A"/>
    <w:rsid w:val="005B270A"/>
    <w:rsid w:val="005B2AA7"/>
    <w:rsid w:val="005B2F6E"/>
    <w:rsid w:val="005B38AE"/>
    <w:rsid w:val="005B3C06"/>
    <w:rsid w:val="005B40FA"/>
    <w:rsid w:val="005B42BA"/>
    <w:rsid w:val="005B4CF0"/>
    <w:rsid w:val="005B4DCB"/>
    <w:rsid w:val="005B6152"/>
    <w:rsid w:val="005B627C"/>
    <w:rsid w:val="005B6288"/>
    <w:rsid w:val="005B6ACA"/>
    <w:rsid w:val="005B7EC2"/>
    <w:rsid w:val="005C0410"/>
    <w:rsid w:val="005C13DC"/>
    <w:rsid w:val="005C2775"/>
    <w:rsid w:val="005C2C1A"/>
    <w:rsid w:val="005C2E72"/>
    <w:rsid w:val="005C4180"/>
    <w:rsid w:val="005C419F"/>
    <w:rsid w:val="005C454C"/>
    <w:rsid w:val="005C47A3"/>
    <w:rsid w:val="005C4AF4"/>
    <w:rsid w:val="005C6388"/>
    <w:rsid w:val="005C6509"/>
    <w:rsid w:val="005C752F"/>
    <w:rsid w:val="005D146E"/>
    <w:rsid w:val="005D1574"/>
    <w:rsid w:val="005D2C51"/>
    <w:rsid w:val="005D3950"/>
    <w:rsid w:val="005D3A48"/>
    <w:rsid w:val="005D4440"/>
    <w:rsid w:val="005D4AE7"/>
    <w:rsid w:val="005D5F0B"/>
    <w:rsid w:val="005D6EBF"/>
    <w:rsid w:val="005D765B"/>
    <w:rsid w:val="005D7956"/>
    <w:rsid w:val="005E0358"/>
    <w:rsid w:val="005E0D07"/>
    <w:rsid w:val="005E0F09"/>
    <w:rsid w:val="005E16FE"/>
    <w:rsid w:val="005E247D"/>
    <w:rsid w:val="005E309F"/>
    <w:rsid w:val="005E3FD2"/>
    <w:rsid w:val="005E5A3A"/>
    <w:rsid w:val="005E67DF"/>
    <w:rsid w:val="005E68B2"/>
    <w:rsid w:val="005E68B4"/>
    <w:rsid w:val="005E7451"/>
    <w:rsid w:val="005E7996"/>
    <w:rsid w:val="005E7D28"/>
    <w:rsid w:val="005F1E17"/>
    <w:rsid w:val="005F402F"/>
    <w:rsid w:val="005F50D6"/>
    <w:rsid w:val="005F530D"/>
    <w:rsid w:val="005F5673"/>
    <w:rsid w:val="005F581A"/>
    <w:rsid w:val="005F65E2"/>
    <w:rsid w:val="005F6786"/>
    <w:rsid w:val="00600A12"/>
    <w:rsid w:val="00600E09"/>
    <w:rsid w:val="0060162F"/>
    <w:rsid w:val="006017F1"/>
    <w:rsid w:val="00601B37"/>
    <w:rsid w:val="00602178"/>
    <w:rsid w:val="00602DB5"/>
    <w:rsid w:val="00603714"/>
    <w:rsid w:val="00604B86"/>
    <w:rsid w:val="00605578"/>
    <w:rsid w:val="00606BBB"/>
    <w:rsid w:val="006074B5"/>
    <w:rsid w:val="0060791E"/>
    <w:rsid w:val="006100E7"/>
    <w:rsid w:val="006106B4"/>
    <w:rsid w:val="00614739"/>
    <w:rsid w:val="00615E79"/>
    <w:rsid w:val="006175B5"/>
    <w:rsid w:val="0062187D"/>
    <w:rsid w:val="006224B5"/>
    <w:rsid w:val="0062361A"/>
    <w:rsid w:val="00624FF9"/>
    <w:rsid w:val="0062642E"/>
    <w:rsid w:val="006267B7"/>
    <w:rsid w:val="00626988"/>
    <w:rsid w:val="00626BF0"/>
    <w:rsid w:val="00626F2D"/>
    <w:rsid w:val="00631633"/>
    <w:rsid w:val="006317FA"/>
    <w:rsid w:val="00631C21"/>
    <w:rsid w:val="00631CEF"/>
    <w:rsid w:val="006329FA"/>
    <w:rsid w:val="00633629"/>
    <w:rsid w:val="006340D0"/>
    <w:rsid w:val="006373C3"/>
    <w:rsid w:val="00637C83"/>
    <w:rsid w:val="00642ACF"/>
    <w:rsid w:val="00645872"/>
    <w:rsid w:val="00645FAD"/>
    <w:rsid w:val="0064678C"/>
    <w:rsid w:val="00646B32"/>
    <w:rsid w:val="0065065A"/>
    <w:rsid w:val="006533E2"/>
    <w:rsid w:val="006545EC"/>
    <w:rsid w:val="00654B8B"/>
    <w:rsid w:val="006555B9"/>
    <w:rsid w:val="00655662"/>
    <w:rsid w:val="006557B0"/>
    <w:rsid w:val="00655A78"/>
    <w:rsid w:val="00656A8E"/>
    <w:rsid w:val="00657956"/>
    <w:rsid w:val="00657BE1"/>
    <w:rsid w:val="0066160B"/>
    <w:rsid w:val="006629EC"/>
    <w:rsid w:val="00662B4B"/>
    <w:rsid w:val="00662E47"/>
    <w:rsid w:val="00662F46"/>
    <w:rsid w:val="006630C9"/>
    <w:rsid w:val="00663236"/>
    <w:rsid w:val="00663B29"/>
    <w:rsid w:val="00663ED8"/>
    <w:rsid w:val="006648EA"/>
    <w:rsid w:val="00664E49"/>
    <w:rsid w:val="0066520B"/>
    <w:rsid w:val="00665F8C"/>
    <w:rsid w:val="0066652E"/>
    <w:rsid w:val="00666549"/>
    <w:rsid w:val="00666FF4"/>
    <w:rsid w:val="006678DA"/>
    <w:rsid w:val="006700E8"/>
    <w:rsid w:val="0067093E"/>
    <w:rsid w:val="00671CA0"/>
    <w:rsid w:val="00672679"/>
    <w:rsid w:val="006729B7"/>
    <w:rsid w:val="00673863"/>
    <w:rsid w:val="00673D9D"/>
    <w:rsid w:val="0067566B"/>
    <w:rsid w:val="0067691F"/>
    <w:rsid w:val="0067698D"/>
    <w:rsid w:val="00683A67"/>
    <w:rsid w:val="00684B21"/>
    <w:rsid w:val="00685A89"/>
    <w:rsid w:val="006903FD"/>
    <w:rsid w:val="006906E3"/>
    <w:rsid w:val="00690C69"/>
    <w:rsid w:val="0069187D"/>
    <w:rsid w:val="006936C3"/>
    <w:rsid w:val="00693989"/>
    <w:rsid w:val="00694BC3"/>
    <w:rsid w:val="00694D1D"/>
    <w:rsid w:val="0069587E"/>
    <w:rsid w:val="00695D0D"/>
    <w:rsid w:val="00696298"/>
    <w:rsid w:val="006A12A1"/>
    <w:rsid w:val="006A12B2"/>
    <w:rsid w:val="006A2CF9"/>
    <w:rsid w:val="006A45EC"/>
    <w:rsid w:val="006A4A02"/>
    <w:rsid w:val="006A4F4D"/>
    <w:rsid w:val="006A53D7"/>
    <w:rsid w:val="006A5858"/>
    <w:rsid w:val="006A5B99"/>
    <w:rsid w:val="006A5DF8"/>
    <w:rsid w:val="006A6727"/>
    <w:rsid w:val="006A6C92"/>
    <w:rsid w:val="006B095D"/>
    <w:rsid w:val="006B16E9"/>
    <w:rsid w:val="006B29B9"/>
    <w:rsid w:val="006B46E2"/>
    <w:rsid w:val="006B6291"/>
    <w:rsid w:val="006B6332"/>
    <w:rsid w:val="006B6EFB"/>
    <w:rsid w:val="006B7A94"/>
    <w:rsid w:val="006B7DB8"/>
    <w:rsid w:val="006C0777"/>
    <w:rsid w:val="006C0992"/>
    <w:rsid w:val="006C1D86"/>
    <w:rsid w:val="006C3DA1"/>
    <w:rsid w:val="006C3F3D"/>
    <w:rsid w:val="006C4BF2"/>
    <w:rsid w:val="006C68B1"/>
    <w:rsid w:val="006C6FCD"/>
    <w:rsid w:val="006C72A1"/>
    <w:rsid w:val="006C7A54"/>
    <w:rsid w:val="006C7C2A"/>
    <w:rsid w:val="006D0686"/>
    <w:rsid w:val="006D10A7"/>
    <w:rsid w:val="006D1A13"/>
    <w:rsid w:val="006D1A66"/>
    <w:rsid w:val="006D2292"/>
    <w:rsid w:val="006D2ADF"/>
    <w:rsid w:val="006D3EE4"/>
    <w:rsid w:val="006D3FAB"/>
    <w:rsid w:val="006D52AF"/>
    <w:rsid w:val="006D53B0"/>
    <w:rsid w:val="006D63E7"/>
    <w:rsid w:val="006D6A82"/>
    <w:rsid w:val="006D6E44"/>
    <w:rsid w:val="006D7F55"/>
    <w:rsid w:val="006E0452"/>
    <w:rsid w:val="006E0F3B"/>
    <w:rsid w:val="006E5E1F"/>
    <w:rsid w:val="006E62D5"/>
    <w:rsid w:val="006E6A7A"/>
    <w:rsid w:val="006F0DE3"/>
    <w:rsid w:val="006F1926"/>
    <w:rsid w:val="006F2A4B"/>
    <w:rsid w:val="006F2B5D"/>
    <w:rsid w:val="006F2B70"/>
    <w:rsid w:val="006F30BB"/>
    <w:rsid w:val="006F48A8"/>
    <w:rsid w:val="006F4F95"/>
    <w:rsid w:val="006F56F8"/>
    <w:rsid w:val="006F7422"/>
    <w:rsid w:val="00700639"/>
    <w:rsid w:val="0070070E"/>
    <w:rsid w:val="00701318"/>
    <w:rsid w:val="00701BB3"/>
    <w:rsid w:val="0070218E"/>
    <w:rsid w:val="00702419"/>
    <w:rsid w:val="00703994"/>
    <w:rsid w:val="00704121"/>
    <w:rsid w:val="007047B4"/>
    <w:rsid w:val="0070553C"/>
    <w:rsid w:val="007055A0"/>
    <w:rsid w:val="00706908"/>
    <w:rsid w:val="00706E71"/>
    <w:rsid w:val="0070734C"/>
    <w:rsid w:val="007073B4"/>
    <w:rsid w:val="00710C4F"/>
    <w:rsid w:val="00710E24"/>
    <w:rsid w:val="00711554"/>
    <w:rsid w:val="00712294"/>
    <w:rsid w:val="00713715"/>
    <w:rsid w:val="00713C46"/>
    <w:rsid w:val="0071715A"/>
    <w:rsid w:val="00717A5A"/>
    <w:rsid w:val="00720114"/>
    <w:rsid w:val="00720228"/>
    <w:rsid w:val="007202FE"/>
    <w:rsid w:val="00721457"/>
    <w:rsid w:val="00721C14"/>
    <w:rsid w:val="00723D58"/>
    <w:rsid w:val="007245F0"/>
    <w:rsid w:val="00724653"/>
    <w:rsid w:val="0072482B"/>
    <w:rsid w:val="007254F9"/>
    <w:rsid w:val="00725649"/>
    <w:rsid w:val="007257F2"/>
    <w:rsid w:val="007258C9"/>
    <w:rsid w:val="00726955"/>
    <w:rsid w:val="0073198B"/>
    <w:rsid w:val="00731A54"/>
    <w:rsid w:val="00732A43"/>
    <w:rsid w:val="007335FF"/>
    <w:rsid w:val="007339A4"/>
    <w:rsid w:val="007347B9"/>
    <w:rsid w:val="00734B9C"/>
    <w:rsid w:val="00734E72"/>
    <w:rsid w:val="00736D6A"/>
    <w:rsid w:val="00737112"/>
    <w:rsid w:val="00740454"/>
    <w:rsid w:val="00740935"/>
    <w:rsid w:val="00740F0E"/>
    <w:rsid w:val="00740F6D"/>
    <w:rsid w:val="0074141C"/>
    <w:rsid w:val="007421A3"/>
    <w:rsid w:val="00742890"/>
    <w:rsid w:val="00742959"/>
    <w:rsid w:val="0074312E"/>
    <w:rsid w:val="00743406"/>
    <w:rsid w:val="00743AC3"/>
    <w:rsid w:val="00744638"/>
    <w:rsid w:val="00744A6E"/>
    <w:rsid w:val="00745000"/>
    <w:rsid w:val="0074577E"/>
    <w:rsid w:val="00745CF4"/>
    <w:rsid w:val="00745FB5"/>
    <w:rsid w:val="00746553"/>
    <w:rsid w:val="00746D11"/>
    <w:rsid w:val="00747777"/>
    <w:rsid w:val="00747832"/>
    <w:rsid w:val="00750301"/>
    <w:rsid w:val="00750E0F"/>
    <w:rsid w:val="00752C61"/>
    <w:rsid w:val="00752EFD"/>
    <w:rsid w:val="00753209"/>
    <w:rsid w:val="00753580"/>
    <w:rsid w:val="0075407E"/>
    <w:rsid w:val="007548E9"/>
    <w:rsid w:val="00761041"/>
    <w:rsid w:val="007610D4"/>
    <w:rsid w:val="00763528"/>
    <w:rsid w:val="007637EF"/>
    <w:rsid w:val="00763FAD"/>
    <w:rsid w:val="0076530E"/>
    <w:rsid w:val="00765564"/>
    <w:rsid w:val="007655EF"/>
    <w:rsid w:val="00765846"/>
    <w:rsid w:val="00766648"/>
    <w:rsid w:val="00766BDC"/>
    <w:rsid w:val="00771166"/>
    <w:rsid w:val="0077217B"/>
    <w:rsid w:val="007724E3"/>
    <w:rsid w:val="00772B2F"/>
    <w:rsid w:val="00773CB7"/>
    <w:rsid w:val="00774727"/>
    <w:rsid w:val="00775669"/>
    <w:rsid w:val="00775C95"/>
    <w:rsid w:val="00776146"/>
    <w:rsid w:val="0077627D"/>
    <w:rsid w:val="00776B67"/>
    <w:rsid w:val="00780960"/>
    <w:rsid w:val="00780A60"/>
    <w:rsid w:val="00783E8C"/>
    <w:rsid w:val="00785D9F"/>
    <w:rsid w:val="0078666B"/>
    <w:rsid w:val="00786A30"/>
    <w:rsid w:val="00787443"/>
    <w:rsid w:val="00787EC7"/>
    <w:rsid w:val="00791273"/>
    <w:rsid w:val="007920BC"/>
    <w:rsid w:val="007926A6"/>
    <w:rsid w:val="0079377E"/>
    <w:rsid w:val="007947CC"/>
    <w:rsid w:val="007947F9"/>
    <w:rsid w:val="00794C42"/>
    <w:rsid w:val="007957F9"/>
    <w:rsid w:val="007964E5"/>
    <w:rsid w:val="00797F54"/>
    <w:rsid w:val="007A014C"/>
    <w:rsid w:val="007A0A50"/>
    <w:rsid w:val="007A2F21"/>
    <w:rsid w:val="007A397E"/>
    <w:rsid w:val="007A39C8"/>
    <w:rsid w:val="007A39D6"/>
    <w:rsid w:val="007A3C94"/>
    <w:rsid w:val="007A422D"/>
    <w:rsid w:val="007A4BDD"/>
    <w:rsid w:val="007A6A0B"/>
    <w:rsid w:val="007A6AE1"/>
    <w:rsid w:val="007A7581"/>
    <w:rsid w:val="007A7D7F"/>
    <w:rsid w:val="007B0CB7"/>
    <w:rsid w:val="007B2AB2"/>
    <w:rsid w:val="007B3EC5"/>
    <w:rsid w:val="007B4BB0"/>
    <w:rsid w:val="007B5D37"/>
    <w:rsid w:val="007B7032"/>
    <w:rsid w:val="007C27B6"/>
    <w:rsid w:val="007C2CB7"/>
    <w:rsid w:val="007C4DD6"/>
    <w:rsid w:val="007C4E2B"/>
    <w:rsid w:val="007C5D97"/>
    <w:rsid w:val="007C6F37"/>
    <w:rsid w:val="007C7845"/>
    <w:rsid w:val="007D068A"/>
    <w:rsid w:val="007D0DBB"/>
    <w:rsid w:val="007D1F8C"/>
    <w:rsid w:val="007D2501"/>
    <w:rsid w:val="007D250A"/>
    <w:rsid w:val="007D3C48"/>
    <w:rsid w:val="007D4E47"/>
    <w:rsid w:val="007D4EDD"/>
    <w:rsid w:val="007D55A3"/>
    <w:rsid w:val="007D5995"/>
    <w:rsid w:val="007D657A"/>
    <w:rsid w:val="007D7126"/>
    <w:rsid w:val="007D7D2D"/>
    <w:rsid w:val="007E121C"/>
    <w:rsid w:val="007E1535"/>
    <w:rsid w:val="007E1F09"/>
    <w:rsid w:val="007E1F51"/>
    <w:rsid w:val="007E2D87"/>
    <w:rsid w:val="007E31FB"/>
    <w:rsid w:val="007E35E1"/>
    <w:rsid w:val="007E4DBC"/>
    <w:rsid w:val="007E50D9"/>
    <w:rsid w:val="007E5AC4"/>
    <w:rsid w:val="007E6316"/>
    <w:rsid w:val="007E70C2"/>
    <w:rsid w:val="007F0B8A"/>
    <w:rsid w:val="007F0EEC"/>
    <w:rsid w:val="007F22CB"/>
    <w:rsid w:val="007F2524"/>
    <w:rsid w:val="007F2ACD"/>
    <w:rsid w:val="007F2AE3"/>
    <w:rsid w:val="007F30E0"/>
    <w:rsid w:val="007F3C45"/>
    <w:rsid w:val="007F542A"/>
    <w:rsid w:val="007F6D92"/>
    <w:rsid w:val="007F72A1"/>
    <w:rsid w:val="007F76B5"/>
    <w:rsid w:val="007F7767"/>
    <w:rsid w:val="0080162D"/>
    <w:rsid w:val="00802AFE"/>
    <w:rsid w:val="00803EBF"/>
    <w:rsid w:val="008044F6"/>
    <w:rsid w:val="00804CC2"/>
    <w:rsid w:val="00804E63"/>
    <w:rsid w:val="00805FA9"/>
    <w:rsid w:val="0080650F"/>
    <w:rsid w:val="00806598"/>
    <w:rsid w:val="00806DF2"/>
    <w:rsid w:val="00807364"/>
    <w:rsid w:val="00810B7D"/>
    <w:rsid w:val="00810B8E"/>
    <w:rsid w:val="00810FA1"/>
    <w:rsid w:val="00811960"/>
    <w:rsid w:val="00811FB6"/>
    <w:rsid w:val="008148B3"/>
    <w:rsid w:val="00814A6E"/>
    <w:rsid w:val="008150D8"/>
    <w:rsid w:val="0081624A"/>
    <w:rsid w:val="00816CCF"/>
    <w:rsid w:val="008177E2"/>
    <w:rsid w:val="0082037D"/>
    <w:rsid w:val="00821B6E"/>
    <w:rsid w:val="00823C16"/>
    <w:rsid w:val="00823E58"/>
    <w:rsid w:val="0082420B"/>
    <w:rsid w:val="00824D37"/>
    <w:rsid w:val="00825709"/>
    <w:rsid w:val="008271B9"/>
    <w:rsid w:val="008300A1"/>
    <w:rsid w:val="0083162D"/>
    <w:rsid w:val="00831741"/>
    <w:rsid w:val="0083177F"/>
    <w:rsid w:val="00832773"/>
    <w:rsid w:val="00833A53"/>
    <w:rsid w:val="00835891"/>
    <w:rsid w:val="00836547"/>
    <w:rsid w:val="0083690D"/>
    <w:rsid w:val="00836FF8"/>
    <w:rsid w:val="00841EFC"/>
    <w:rsid w:val="00842F1D"/>
    <w:rsid w:val="0084428D"/>
    <w:rsid w:val="00844B36"/>
    <w:rsid w:val="00844EC7"/>
    <w:rsid w:val="008454F0"/>
    <w:rsid w:val="008455F0"/>
    <w:rsid w:val="0084586B"/>
    <w:rsid w:val="0084687A"/>
    <w:rsid w:val="008471E9"/>
    <w:rsid w:val="00847521"/>
    <w:rsid w:val="00847779"/>
    <w:rsid w:val="00847F7D"/>
    <w:rsid w:val="00850688"/>
    <w:rsid w:val="008518AB"/>
    <w:rsid w:val="00851F3A"/>
    <w:rsid w:val="00853436"/>
    <w:rsid w:val="00853E57"/>
    <w:rsid w:val="00854A49"/>
    <w:rsid w:val="00854B6D"/>
    <w:rsid w:val="008555A0"/>
    <w:rsid w:val="008566D3"/>
    <w:rsid w:val="00856A1B"/>
    <w:rsid w:val="00856D35"/>
    <w:rsid w:val="00860810"/>
    <w:rsid w:val="00861515"/>
    <w:rsid w:val="00861BDB"/>
    <w:rsid w:val="00861D15"/>
    <w:rsid w:val="00862282"/>
    <w:rsid w:val="00862720"/>
    <w:rsid w:val="00862DA6"/>
    <w:rsid w:val="00863522"/>
    <w:rsid w:val="00863DF5"/>
    <w:rsid w:val="00864C11"/>
    <w:rsid w:val="00864F43"/>
    <w:rsid w:val="00865F1C"/>
    <w:rsid w:val="008662E8"/>
    <w:rsid w:val="00866787"/>
    <w:rsid w:val="00866F09"/>
    <w:rsid w:val="00867CAB"/>
    <w:rsid w:val="00870C08"/>
    <w:rsid w:val="008711BB"/>
    <w:rsid w:val="0087124F"/>
    <w:rsid w:val="0087136B"/>
    <w:rsid w:val="00871CD3"/>
    <w:rsid w:val="00871CFE"/>
    <w:rsid w:val="0087231D"/>
    <w:rsid w:val="00872A51"/>
    <w:rsid w:val="00876987"/>
    <w:rsid w:val="008778C8"/>
    <w:rsid w:val="008813EA"/>
    <w:rsid w:val="0088473F"/>
    <w:rsid w:val="00885D92"/>
    <w:rsid w:val="00885DAB"/>
    <w:rsid w:val="00891B3C"/>
    <w:rsid w:val="00891C48"/>
    <w:rsid w:val="00891DDE"/>
    <w:rsid w:val="00892ACF"/>
    <w:rsid w:val="00894AE0"/>
    <w:rsid w:val="00894B43"/>
    <w:rsid w:val="00894BBC"/>
    <w:rsid w:val="008952FC"/>
    <w:rsid w:val="00896F6F"/>
    <w:rsid w:val="008973A1"/>
    <w:rsid w:val="0089788D"/>
    <w:rsid w:val="00897BA3"/>
    <w:rsid w:val="00897C2D"/>
    <w:rsid w:val="008A0E31"/>
    <w:rsid w:val="008A0ECF"/>
    <w:rsid w:val="008A152E"/>
    <w:rsid w:val="008A2866"/>
    <w:rsid w:val="008A2966"/>
    <w:rsid w:val="008A2B8C"/>
    <w:rsid w:val="008A31FA"/>
    <w:rsid w:val="008A42A9"/>
    <w:rsid w:val="008A5326"/>
    <w:rsid w:val="008A5462"/>
    <w:rsid w:val="008A5A97"/>
    <w:rsid w:val="008A615F"/>
    <w:rsid w:val="008A6702"/>
    <w:rsid w:val="008A6889"/>
    <w:rsid w:val="008B0B48"/>
    <w:rsid w:val="008B0F8A"/>
    <w:rsid w:val="008B25AF"/>
    <w:rsid w:val="008B27B3"/>
    <w:rsid w:val="008B2D22"/>
    <w:rsid w:val="008B2FEF"/>
    <w:rsid w:val="008B3C6D"/>
    <w:rsid w:val="008B41C8"/>
    <w:rsid w:val="008B5101"/>
    <w:rsid w:val="008B68A7"/>
    <w:rsid w:val="008B7857"/>
    <w:rsid w:val="008C06A0"/>
    <w:rsid w:val="008C1864"/>
    <w:rsid w:val="008C209A"/>
    <w:rsid w:val="008C2AB1"/>
    <w:rsid w:val="008C2EF3"/>
    <w:rsid w:val="008C7E53"/>
    <w:rsid w:val="008D008B"/>
    <w:rsid w:val="008D0321"/>
    <w:rsid w:val="008D0C1F"/>
    <w:rsid w:val="008D1209"/>
    <w:rsid w:val="008D1A4A"/>
    <w:rsid w:val="008D2CD5"/>
    <w:rsid w:val="008D3371"/>
    <w:rsid w:val="008D4874"/>
    <w:rsid w:val="008D6233"/>
    <w:rsid w:val="008D67DD"/>
    <w:rsid w:val="008D6FF1"/>
    <w:rsid w:val="008D759D"/>
    <w:rsid w:val="008D78FA"/>
    <w:rsid w:val="008D7E98"/>
    <w:rsid w:val="008E1A77"/>
    <w:rsid w:val="008E1C1F"/>
    <w:rsid w:val="008E37ED"/>
    <w:rsid w:val="008E4558"/>
    <w:rsid w:val="008E5151"/>
    <w:rsid w:val="008E51EA"/>
    <w:rsid w:val="008E6B8A"/>
    <w:rsid w:val="008E748C"/>
    <w:rsid w:val="008F1CA2"/>
    <w:rsid w:val="008F2228"/>
    <w:rsid w:val="008F2526"/>
    <w:rsid w:val="008F3713"/>
    <w:rsid w:val="008F3B81"/>
    <w:rsid w:val="008F3D00"/>
    <w:rsid w:val="008F44AE"/>
    <w:rsid w:val="008F49DB"/>
    <w:rsid w:val="008F4F43"/>
    <w:rsid w:val="008F604C"/>
    <w:rsid w:val="008F6ABA"/>
    <w:rsid w:val="008F72DC"/>
    <w:rsid w:val="00901A4F"/>
    <w:rsid w:val="009026DF"/>
    <w:rsid w:val="00902EFC"/>
    <w:rsid w:val="00904F5C"/>
    <w:rsid w:val="00905E0A"/>
    <w:rsid w:val="00906763"/>
    <w:rsid w:val="00906F83"/>
    <w:rsid w:val="0090797F"/>
    <w:rsid w:val="0091052D"/>
    <w:rsid w:val="0091108D"/>
    <w:rsid w:val="0091193E"/>
    <w:rsid w:val="00914176"/>
    <w:rsid w:val="00914BF3"/>
    <w:rsid w:val="00914D1D"/>
    <w:rsid w:val="0091586F"/>
    <w:rsid w:val="00915ECA"/>
    <w:rsid w:val="00916A78"/>
    <w:rsid w:val="009170E1"/>
    <w:rsid w:val="00920000"/>
    <w:rsid w:val="00920078"/>
    <w:rsid w:val="009200CD"/>
    <w:rsid w:val="009206BD"/>
    <w:rsid w:val="00920734"/>
    <w:rsid w:val="0092161B"/>
    <w:rsid w:val="00921D20"/>
    <w:rsid w:val="0092233B"/>
    <w:rsid w:val="00922C71"/>
    <w:rsid w:val="009244DD"/>
    <w:rsid w:val="009254CC"/>
    <w:rsid w:val="00930894"/>
    <w:rsid w:val="00930ADD"/>
    <w:rsid w:val="00931287"/>
    <w:rsid w:val="00931765"/>
    <w:rsid w:val="00932222"/>
    <w:rsid w:val="009339AA"/>
    <w:rsid w:val="00934A43"/>
    <w:rsid w:val="00934B78"/>
    <w:rsid w:val="00935A05"/>
    <w:rsid w:val="00935D0E"/>
    <w:rsid w:val="00936504"/>
    <w:rsid w:val="00936A2C"/>
    <w:rsid w:val="00937922"/>
    <w:rsid w:val="00940E64"/>
    <w:rsid w:val="009411EC"/>
    <w:rsid w:val="009412B3"/>
    <w:rsid w:val="0094151A"/>
    <w:rsid w:val="00941820"/>
    <w:rsid w:val="00941EB6"/>
    <w:rsid w:val="00942DCE"/>
    <w:rsid w:val="009436A3"/>
    <w:rsid w:val="00943E54"/>
    <w:rsid w:val="009446C7"/>
    <w:rsid w:val="00944F48"/>
    <w:rsid w:val="0094541D"/>
    <w:rsid w:val="009454A2"/>
    <w:rsid w:val="00946457"/>
    <w:rsid w:val="00946653"/>
    <w:rsid w:val="00946D65"/>
    <w:rsid w:val="00952249"/>
    <w:rsid w:val="009524E0"/>
    <w:rsid w:val="00952962"/>
    <w:rsid w:val="00953224"/>
    <w:rsid w:val="00954121"/>
    <w:rsid w:val="009542B2"/>
    <w:rsid w:val="00954B6B"/>
    <w:rsid w:val="00954C58"/>
    <w:rsid w:val="00955114"/>
    <w:rsid w:val="00955E4F"/>
    <w:rsid w:val="009560F6"/>
    <w:rsid w:val="0095654B"/>
    <w:rsid w:val="00956748"/>
    <w:rsid w:val="00957B2A"/>
    <w:rsid w:val="00960810"/>
    <w:rsid w:val="009610F9"/>
    <w:rsid w:val="00961796"/>
    <w:rsid w:val="00961F6E"/>
    <w:rsid w:val="00962178"/>
    <w:rsid w:val="00962DFB"/>
    <w:rsid w:val="00962E7D"/>
    <w:rsid w:val="00965171"/>
    <w:rsid w:val="009651F4"/>
    <w:rsid w:val="00965255"/>
    <w:rsid w:val="00966B70"/>
    <w:rsid w:val="0096765D"/>
    <w:rsid w:val="00967D80"/>
    <w:rsid w:val="00967DF1"/>
    <w:rsid w:val="0097102C"/>
    <w:rsid w:val="00971A74"/>
    <w:rsid w:val="009725B0"/>
    <w:rsid w:val="00972812"/>
    <w:rsid w:val="00972F3A"/>
    <w:rsid w:val="00974694"/>
    <w:rsid w:val="00974E60"/>
    <w:rsid w:val="0097507A"/>
    <w:rsid w:val="00976245"/>
    <w:rsid w:val="0097688C"/>
    <w:rsid w:val="00980166"/>
    <w:rsid w:val="009801C0"/>
    <w:rsid w:val="009803E8"/>
    <w:rsid w:val="0098055D"/>
    <w:rsid w:val="00982209"/>
    <w:rsid w:val="00982560"/>
    <w:rsid w:val="009829E0"/>
    <w:rsid w:val="0098309B"/>
    <w:rsid w:val="00983395"/>
    <w:rsid w:val="00983A83"/>
    <w:rsid w:val="00983D39"/>
    <w:rsid w:val="00984B72"/>
    <w:rsid w:val="00984F16"/>
    <w:rsid w:val="00990009"/>
    <w:rsid w:val="00990A86"/>
    <w:rsid w:val="009915BC"/>
    <w:rsid w:val="00991EAB"/>
    <w:rsid w:val="009921E9"/>
    <w:rsid w:val="00992A88"/>
    <w:rsid w:val="00992B33"/>
    <w:rsid w:val="00994DF7"/>
    <w:rsid w:val="00996597"/>
    <w:rsid w:val="009966A0"/>
    <w:rsid w:val="00997E63"/>
    <w:rsid w:val="00997F3B"/>
    <w:rsid w:val="00997F66"/>
    <w:rsid w:val="009A0175"/>
    <w:rsid w:val="009A08B0"/>
    <w:rsid w:val="009A1252"/>
    <w:rsid w:val="009A3160"/>
    <w:rsid w:val="009A42D5"/>
    <w:rsid w:val="009A4428"/>
    <w:rsid w:val="009A59D1"/>
    <w:rsid w:val="009A6365"/>
    <w:rsid w:val="009A7EA3"/>
    <w:rsid w:val="009B0390"/>
    <w:rsid w:val="009B11E5"/>
    <w:rsid w:val="009B1724"/>
    <w:rsid w:val="009B1C43"/>
    <w:rsid w:val="009B2949"/>
    <w:rsid w:val="009B2B88"/>
    <w:rsid w:val="009B2B8D"/>
    <w:rsid w:val="009B4BF4"/>
    <w:rsid w:val="009B5305"/>
    <w:rsid w:val="009B5BF8"/>
    <w:rsid w:val="009B72B2"/>
    <w:rsid w:val="009B78A6"/>
    <w:rsid w:val="009B78A8"/>
    <w:rsid w:val="009C07C7"/>
    <w:rsid w:val="009C1457"/>
    <w:rsid w:val="009C1BC8"/>
    <w:rsid w:val="009C2D0E"/>
    <w:rsid w:val="009C2E56"/>
    <w:rsid w:val="009C40DA"/>
    <w:rsid w:val="009D0145"/>
    <w:rsid w:val="009D0C86"/>
    <w:rsid w:val="009D1269"/>
    <w:rsid w:val="009D13A6"/>
    <w:rsid w:val="009D1FAC"/>
    <w:rsid w:val="009D3B15"/>
    <w:rsid w:val="009D3D86"/>
    <w:rsid w:val="009D3E9C"/>
    <w:rsid w:val="009D4F1B"/>
    <w:rsid w:val="009D5BB5"/>
    <w:rsid w:val="009D61C3"/>
    <w:rsid w:val="009D7EC9"/>
    <w:rsid w:val="009E0C78"/>
    <w:rsid w:val="009E1CED"/>
    <w:rsid w:val="009E202A"/>
    <w:rsid w:val="009E2034"/>
    <w:rsid w:val="009E2F1E"/>
    <w:rsid w:val="009E38F8"/>
    <w:rsid w:val="009E3CCB"/>
    <w:rsid w:val="009E4028"/>
    <w:rsid w:val="009E4975"/>
    <w:rsid w:val="009E4C00"/>
    <w:rsid w:val="009E4E35"/>
    <w:rsid w:val="009E4F3A"/>
    <w:rsid w:val="009E5726"/>
    <w:rsid w:val="009E6397"/>
    <w:rsid w:val="009E78A7"/>
    <w:rsid w:val="009E7F5B"/>
    <w:rsid w:val="009F06D0"/>
    <w:rsid w:val="009F0733"/>
    <w:rsid w:val="009F130D"/>
    <w:rsid w:val="009F1F80"/>
    <w:rsid w:val="009F3688"/>
    <w:rsid w:val="009F3E95"/>
    <w:rsid w:val="009F553D"/>
    <w:rsid w:val="009F5B3E"/>
    <w:rsid w:val="009F67FB"/>
    <w:rsid w:val="009F7140"/>
    <w:rsid w:val="00A01647"/>
    <w:rsid w:val="00A028F6"/>
    <w:rsid w:val="00A02B54"/>
    <w:rsid w:val="00A02F3E"/>
    <w:rsid w:val="00A03FB5"/>
    <w:rsid w:val="00A040B8"/>
    <w:rsid w:val="00A0414D"/>
    <w:rsid w:val="00A04392"/>
    <w:rsid w:val="00A05AE9"/>
    <w:rsid w:val="00A07217"/>
    <w:rsid w:val="00A12702"/>
    <w:rsid w:val="00A13D66"/>
    <w:rsid w:val="00A1467F"/>
    <w:rsid w:val="00A14B6E"/>
    <w:rsid w:val="00A156A3"/>
    <w:rsid w:val="00A16AAA"/>
    <w:rsid w:val="00A174EC"/>
    <w:rsid w:val="00A17C38"/>
    <w:rsid w:val="00A20BBC"/>
    <w:rsid w:val="00A21180"/>
    <w:rsid w:val="00A21BCB"/>
    <w:rsid w:val="00A21CF5"/>
    <w:rsid w:val="00A2230F"/>
    <w:rsid w:val="00A224B8"/>
    <w:rsid w:val="00A23BC5"/>
    <w:rsid w:val="00A23EC5"/>
    <w:rsid w:val="00A240AA"/>
    <w:rsid w:val="00A268C0"/>
    <w:rsid w:val="00A27313"/>
    <w:rsid w:val="00A27BC3"/>
    <w:rsid w:val="00A27C59"/>
    <w:rsid w:val="00A308D2"/>
    <w:rsid w:val="00A31621"/>
    <w:rsid w:val="00A32988"/>
    <w:rsid w:val="00A34941"/>
    <w:rsid w:val="00A34C90"/>
    <w:rsid w:val="00A353DA"/>
    <w:rsid w:val="00A358A8"/>
    <w:rsid w:val="00A36158"/>
    <w:rsid w:val="00A37399"/>
    <w:rsid w:val="00A375B7"/>
    <w:rsid w:val="00A3786E"/>
    <w:rsid w:val="00A37B95"/>
    <w:rsid w:val="00A4091A"/>
    <w:rsid w:val="00A41A46"/>
    <w:rsid w:val="00A41F6C"/>
    <w:rsid w:val="00A42136"/>
    <w:rsid w:val="00A4356C"/>
    <w:rsid w:val="00A5000E"/>
    <w:rsid w:val="00A50148"/>
    <w:rsid w:val="00A502AA"/>
    <w:rsid w:val="00A50779"/>
    <w:rsid w:val="00A50F45"/>
    <w:rsid w:val="00A51632"/>
    <w:rsid w:val="00A52025"/>
    <w:rsid w:val="00A52F7C"/>
    <w:rsid w:val="00A53484"/>
    <w:rsid w:val="00A5375F"/>
    <w:rsid w:val="00A53B7B"/>
    <w:rsid w:val="00A54293"/>
    <w:rsid w:val="00A545E1"/>
    <w:rsid w:val="00A55325"/>
    <w:rsid w:val="00A556FF"/>
    <w:rsid w:val="00A55DF6"/>
    <w:rsid w:val="00A55FA1"/>
    <w:rsid w:val="00A56BCD"/>
    <w:rsid w:val="00A56E6B"/>
    <w:rsid w:val="00A57426"/>
    <w:rsid w:val="00A57AC0"/>
    <w:rsid w:val="00A60A1B"/>
    <w:rsid w:val="00A6130B"/>
    <w:rsid w:val="00A613CD"/>
    <w:rsid w:val="00A61D95"/>
    <w:rsid w:val="00A620FC"/>
    <w:rsid w:val="00A64F8F"/>
    <w:rsid w:val="00A650CE"/>
    <w:rsid w:val="00A65DB3"/>
    <w:rsid w:val="00A668EE"/>
    <w:rsid w:val="00A66F3E"/>
    <w:rsid w:val="00A70263"/>
    <w:rsid w:val="00A70E2E"/>
    <w:rsid w:val="00A70F00"/>
    <w:rsid w:val="00A717FD"/>
    <w:rsid w:val="00A719AB"/>
    <w:rsid w:val="00A73846"/>
    <w:rsid w:val="00A738CC"/>
    <w:rsid w:val="00A741B3"/>
    <w:rsid w:val="00A742FA"/>
    <w:rsid w:val="00A756C3"/>
    <w:rsid w:val="00A75CCF"/>
    <w:rsid w:val="00A76B94"/>
    <w:rsid w:val="00A77CBD"/>
    <w:rsid w:val="00A80222"/>
    <w:rsid w:val="00A819FD"/>
    <w:rsid w:val="00A81E15"/>
    <w:rsid w:val="00A81F2E"/>
    <w:rsid w:val="00A82F66"/>
    <w:rsid w:val="00A835E9"/>
    <w:rsid w:val="00A8431B"/>
    <w:rsid w:val="00A85784"/>
    <w:rsid w:val="00A8591D"/>
    <w:rsid w:val="00A860A0"/>
    <w:rsid w:val="00A8622C"/>
    <w:rsid w:val="00A8677B"/>
    <w:rsid w:val="00A906C1"/>
    <w:rsid w:val="00A91F73"/>
    <w:rsid w:val="00A9473A"/>
    <w:rsid w:val="00A94D51"/>
    <w:rsid w:val="00A95065"/>
    <w:rsid w:val="00A95A38"/>
    <w:rsid w:val="00A97B93"/>
    <w:rsid w:val="00AA0076"/>
    <w:rsid w:val="00AA01C1"/>
    <w:rsid w:val="00AA1147"/>
    <w:rsid w:val="00AA3DA6"/>
    <w:rsid w:val="00AA4410"/>
    <w:rsid w:val="00AA474C"/>
    <w:rsid w:val="00AA50C6"/>
    <w:rsid w:val="00AA782E"/>
    <w:rsid w:val="00AA7D74"/>
    <w:rsid w:val="00AA7FB0"/>
    <w:rsid w:val="00AB039F"/>
    <w:rsid w:val="00AB066D"/>
    <w:rsid w:val="00AB355C"/>
    <w:rsid w:val="00AB4511"/>
    <w:rsid w:val="00AB459A"/>
    <w:rsid w:val="00AB5198"/>
    <w:rsid w:val="00AB5469"/>
    <w:rsid w:val="00AB5C82"/>
    <w:rsid w:val="00AB5D65"/>
    <w:rsid w:val="00AB5EA0"/>
    <w:rsid w:val="00AB6FC9"/>
    <w:rsid w:val="00AC03EE"/>
    <w:rsid w:val="00AC0541"/>
    <w:rsid w:val="00AC1477"/>
    <w:rsid w:val="00AC4360"/>
    <w:rsid w:val="00AC51B9"/>
    <w:rsid w:val="00AC5DB1"/>
    <w:rsid w:val="00AC5E37"/>
    <w:rsid w:val="00AC64BA"/>
    <w:rsid w:val="00AC6B8D"/>
    <w:rsid w:val="00AC6C15"/>
    <w:rsid w:val="00AC6E2C"/>
    <w:rsid w:val="00AC7081"/>
    <w:rsid w:val="00AC718F"/>
    <w:rsid w:val="00AD1800"/>
    <w:rsid w:val="00AD184B"/>
    <w:rsid w:val="00AD2E22"/>
    <w:rsid w:val="00AD3397"/>
    <w:rsid w:val="00AD3425"/>
    <w:rsid w:val="00AD5358"/>
    <w:rsid w:val="00AD55E3"/>
    <w:rsid w:val="00AD56E2"/>
    <w:rsid w:val="00AD59A1"/>
    <w:rsid w:val="00AD65B3"/>
    <w:rsid w:val="00AD7227"/>
    <w:rsid w:val="00AD7AD0"/>
    <w:rsid w:val="00AE1845"/>
    <w:rsid w:val="00AE3691"/>
    <w:rsid w:val="00AE3811"/>
    <w:rsid w:val="00AE573D"/>
    <w:rsid w:val="00AE65E0"/>
    <w:rsid w:val="00AE65E5"/>
    <w:rsid w:val="00AE69EA"/>
    <w:rsid w:val="00AE745F"/>
    <w:rsid w:val="00AE7986"/>
    <w:rsid w:val="00AF0574"/>
    <w:rsid w:val="00AF1C74"/>
    <w:rsid w:val="00AF1E65"/>
    <w:rsid w:val="00AF306C"/>
    <w:rsid w:val="00AF3449"/>
    <w:rsid w:val="00AF3B63"/>
    <w:rsid w:val="00AF3E60"/>
    <w:rsid w:val="00AF3E9D"/>
    <w:rsid w:val="00AF45AA"/>
    <w:rsid w:val="00AF46F6"/>
    <w:rsid w:val="00AF6A02"/>
    <w:rsid w:val="00B0056B"/>
    <w:rsid w:val="00B00DFE"/>
    <w:rsid w:val="00B01DEF"/>
    <w:rsid w:val="00B027F5"/>
    <w:rsid w:val="00B03365"/>
    <w:rsid w:val="00B03F7D"/>
    <w:rsid w:val="00B05132"/>
    <w:rsid w:val="00B053CA"/>
    <w:rsid w:val="00B1033B"/>
    <w:rsid w:val="00B10DB5"/>
    <w:rsid w:val="00B12E44"/>
    <w:rsid w:val="00B144B7"/>
    <w:rsid w:val="00B14BA2"/>
    <w:rsid w:val="00B152A1"/>
    <w:rsid w:val="00B15DA7"/>
    <w:rsid w:val="00B17C36"/>
    <w:rsid w:val="00B21041"/>
    <w:rsid w:val="00B214EC"/>
    <w:rsid w:val="00B21CFB"/>
    <w:rsid w:val="00B21ECD"/>
    <w:rsid w:val="00B22663"/>
    <w:rsid w:val="00B22A87"/>
    <w:rsid w:val="00B23C2B"/>
    <w:rsid w:val="00B24223"/>
    <w:rsid w:val="00B24442"/>
    <w:rsid w:val="00B24D1C"/>
    <w:rsid w:val="00B25A58"/>
    <w:rsid w:val="00B27074"/>
    <w:rsid w:val="00B30DED"/>
    <w:rsid w:val="00B30F81"/>
    <w:rsid w:val="00B3182F"/>
    <w:rsid w:val="00B31B41"/>
    <w:rsid w:val="00B3284C"/>
    <w:rsid w:val="00B3401C"/>
    <w:rsid w:val="00B34A03"/>
    <w:rsid w:val="00B34B40"/>
    <w:rsid w:val="00B353A6"/>
    <w:rsid w:val="00B36BBE"/>
    <w:rsid w:val="00B36C4B"/>
    <w:rsid w:val="00B37D7D"/>
    <w:rsid w:val="00B40027"/>
    <w:rsid w:val="00B413C6"/>
    <w:rsid w:val="00B415D7"/>
    <w:rsid w:val="00B41B66"/>
    <w:rsid w:val="00B422C4"/>
    <w:rsid w:val="00B4359E"/>
    <w:rsid w:val="00B449CF"/>
    <w:rsid w:val="00B44CF8"/>
    <w:rsid w:val="00B4542F"/>
    <w:rsid w:val="00B468E9"/>
    <w:rsid w:val="00B46ACE"/>
    <w:rsid w:val="00B47FA3"/>
    <w:rsid w:val="00B504B9"/>
    <w:rsid w:val="00B50541"/>
    <w:rsid w:val="00B50A3B"/>
    <w:rsid w:val="00B513E4"/>
    <w:rsid w:val="00B515A4"/>
    <w:rsid w:val="00B529F0"/>
    <w:rsid w:val="00B52CD3"/>
    <w:rsid w:val="00B53BC9"/>
    <w:rsid w:val="00B548CB"/>
    <w:rsid w:val="00B549A7"/>
    <w:rsid w:val="00B55386"/>
    <w:rsid w:val="00B55BF9"/>
    <w:rsid w:val="00B56567"/>
    <w:rsid w:val="00B5689E"/>
    <w:rsid w:val="00B56A9F"/>
    <w:rsid w:val="00B60998"/>
    <w:rsid w:val="00B61234"/>
    <w:rsid w:val="00B61A4E"/>
    <w:rsid w:val="00B622DE"/>
    <w:rsid w:val="00B633C3"/>
    <w:rsid w:val="00B649F9"/>
    <w:rsid w:val="00B64ADB"/>
    <w:rsid w:val="00B65137"/>
    <w:rsid w:val="00B65C87"/>
    <w:rsid w:val="00B67312"/>
    <w:rsid w:val="00B67538"/>
    <w:rsid w:val="00B7135A"/>
    <w:rsid w:val="00B72E31"/>
    <w:rsid w:val="00B7388F"/>
    <w:rsid w:val="00B74789"/>
    <w:rsid w:val="00B7626D"/>
    <w:rsid w:val="00B76785"/>
    <w:rsid w:val="00B76AB3"/>
    <w:rsid w:val="00B77301"/>
    <w:rsid w:val="00B779DC"/>
    <w:rsid w:val="00B80340"/>
    <w:rsid w:val="00B80BAC"/>
    <w:rsid w:val="00B81830"/>
    <w:rsid w:val="00B81C1A"/>
    <w:rsid w:val="00B82500"/>
    <w:rsid w:val="00B82C8D"/>
    <w:rsid w:val="00B82F36"/>
    <w:rsid w:val="00B83911"/>
    <w:rsid w:val="00B849CB"/>
    <w:rsid w:val="00B84CD6"/>
    <w:rsid w:val="00B867B5"/>
    <w:rsid w:val="00B86A91"/>
    <w:rsid w:val="00B8744F"/>
    <w:rsid w:val="00B874BC"/>
    <w:rsid w:val="00B90899"/>
    <w:rsid w:val="00B92636"/>
    <w:rsid w:val="00B92E02"/>
    <w:rsid w:val="00B93BC8"/>
    <w:rsid w:val="00B94572"/>
    <w:rsid w:val="00B946A3"/>
    <w:rsid w:val="00B94863"/>
    <w:rsid w:val="00B95A0A"/>
    <w:rsid w:val="00B96104"/>
    <w:rsid w:val="00B96349"/>
    <w:rsid w:val="00B96998"/>
    <w:rsid w:val="00B972C7"/>
    <w:rsid w:val="00B977D6"/>
    <w:rsid w:val="00B97AC5"/>
    <w:rsid w:val="00BA0896"/>
    <w:rsid w:val="00BA198C"/>
    <w:rsid w:val="00BA1F4D"/>
    <w:rsid w:val="00BA3187"/>
    <w:rsid w:val="00BA41D1"/>
    <w:rsid w:val="00BA5072"/>
    <w:rsid w:val="00BA50B4"/>
    <w:rsid w:val="00BA58D6"/>
    <w:rsid w:val="00BA72D4"/>
    <w:rsid w:val="00BB0747"/>
    <w:rsid w:val="00BB1B15"/>
    <w:rsid w:val="00BB1B35"/>
    <w:rsid w:val="00BB222C"/>
    <w:rsid w:val="00BB3372"/>
    <w:rsid w:val="00BB39E7"/>
    <w:rsid w:val="00BB4D3B"/>
    <w:rsid w:val="00BB56F6"/>
    <w:rsid w:val="00BB65B0"/>
    <w:rsid w:val="00BB688D"/>
    <w:rsid w:val="00BC0948"/>
    <w:rsid w:val="00BC135B"/>
    <w:rsid w:val="00BC26B7"/>
    <w:rsid w:val="00BC5D5E"/>
    <w:rsid w:val="00BC69B5"/>
    <w:rsid w:val="00BD06CE"/>
    <w:rsid w:val="00BD06E6"/>
    <w:rsid w:val="00BD14CC"/>
    <w:rsid w:val="00BD1A2C"/>
    <w:rsid w:val="00BD1C93"/>
    <w:rsid w:val="00BD2FAC"/>
    <w:rsid w:val="00BD3739"/>
    <w:rsid w:val="00BD3B3A"/>
    <w:rsid w:val="00BD3D47"/>
    <w:rsid w:val="00BD5C88"/>
    <w:rsid w:val="00BE039E"/>
    <w:rsid w:val="00BE0BD1"/>
    <w:rsid w:val="00BE19AC"/>
    <w:rsid w:val="00BE31BA"/>
    <w:rsid w:val="00BE3A78"/>
    <w:rsid w:val="00BE6527"/>
    <w:rsid w:val="00BE67E7"/>
    <w:rsid w:val="00BE6C21"/>
    <w:rsid w:val="00BE7104"/>
    <w:rsid w:val="00BF057F"/>
    <w:rsid w:val="00BF1579"/>
    <w:rsid w:val="00BF1E49"/>
    <w:rsid w:val="00BF325F"/>
    <w:rsid w:val="00BF4C04"/>
    <w:rsid w:val="00BF4DD6"/>
    <w:rsid w:val="00BF59C0"/>
    <w:rsid w:val="00C01010"/>
    <w:rsid w:val="00C0188C"/>
    <w:rsid w:val="00C0189F"/>
    <w:rsid w:val="00C0224B"/>
    <w:rsid w:val="00C03C08"/>
    <w:rsid w:val="00C03EC0"/>
    <w:rsid w:val="00C04601"/>
    <w:rsid w:val="00C04FF7"/>
    <w:rsid w:val="00C05064"/>
    <w:rsid w:val="00C050A7"/>
    <w:rsid w:val="00C05817"/>
    <w:rsid w:val="00C05846"/>
    <w:rsid w:val="00C05A91"/>
    <w:rsid w:val="00C06025"/>
    <w:rsid w:val="00C07994"/>
    <w:rsid w:val="00C10530"/>
    <w:rsid w:val="00C11433"/>
    <w:rsid w:val="00C11747"/>
    <w:rsid w:val="00C125D4"/>
    <w:rsid w:val="00C128FC"/>
    <w:rsid w:val="00C134A7"/>
    <w:rsid w:val="00C15228"/>
    <w:rsid w:val="00C1575F"/>
    <w:rsid w:val="00C166B8"/>
    <w:rsid w:val="00C16A89"/>
    <w:rsid w:val="00C16BB4"/>
    <w:rsid w:val="00C16C6A"/>
    <w:rsid w:val="00C20006"/>
    <w:rsid w:val="00C20435"/>
    <w:rsid w:val="00C20E7C"/>
    <w:rsid w:val="00C20F3F"/>
    <w:rsid w:val="00C22145"/>
    <w:rsid w:val="00C24365"/>
    <w:rsid w:val="00C24D08"/>
    <w:rsid w:val="00C256B6"/>
    <w:rsid w:val="00C25870"/>
    <w:rsid w:val="00C26CEF"/>
    <w:rsid w:val="00C2789D"/>
    <w:rsid w:val="00C300D8"/>
    <w:rsid w:val="00C30CBD"/>
    <w:rsid w:val="00C30F1A"/>
    <w:rsid w:val="00C32D97"/>
    <w:rsid w:val="00C34552"/>
    <w:rsid w:val="00C34AD1"/>
    <w:rsid w:val="00C35936"/>
    <w:rsid w:val="00C35BDD"/>
    <w:rsid w:val="00C36D01"/>
    <w:rsid w:val="00C36E6A"/>
    <w:rsid w:val="00C373DF"/>
    <w:rsid w:val="00C37592"/>
    <w:rsid w:val="00C37F90"/>
    <w:rsid w:val="00C4132F"/>
    <w:rsid w:val="00C41630"/>
    <w:rsid w:val="00C42A47"/>
    <w:rsid w:val="00C436ED"/>
    <w:rsid w:val="00C43970"/>
    <w:rsid w:val="00C43E6E"/>
    <w:rsid w:val="00C44C8E"/>
    <w:rsid w:val="00C459AC"/>
    <w:rsid w:val="00C465B3"/>
    <w:rsid w:val="00C47F56"/>
    <w:rsid w:val="00C51299"/>
    <w:rsid w:val="00C51786"/>
    <w:rsid w:val="00C5406E"/>
    <w:rsid w:val="00C563F1"/>
    <w:rsid w:val="00C56546"/>
    <w:rsid w:val="00C569C6"/>
    <w:rsid w:val="00C56D87"/>
    <w:rsid w:val="00C57275"/>
    <w:rsid w:val="00C579D7"/>
    <w:rsid w:val="00C60384"/>
    <w:rsid w:val="00C61B31"/>
    <w:rsid w:val="00C636CE"/>
    <w:rsid w:val="00C6424C"/>
    <w:rsid w:val="00C652E5"/>
    <w:rsid w:val="00C65ACD"/>
    <w:rsid w:val="00C65C20"/>
    <w:rsid w:val="00C65D3E"/>
    <w:rsid w:val="00C65FE7"/>
    <w:rsid w:val="00C66C66"/>
    <w:rsid w:val="00C67D50"/>
    <w:rsid w:val="00C70A84"/>
    <w:rsid w:val="00C71E73"/>
    <w:rsid w:val="00C72C34"/>
    <w:rsid w:val="00C73F58"/>
    <w:rsid w:val="00C74728"/>
    <w:rsid w:val="00C747C8"/>
    <w:rsid w:val="00C75FFF"/>
    <w:rsid w:val="00C76350"/>
    <w:rsid w:val="00C7665C"/>
    <w:rsid w:val="00C7696F"/>
    <w:rsid w:val="00C77FA7"/>
    <w:rsid w:val="00C81562"/>
    <w:rsid w:val="00C82518"/>
    <w:rsid w:val="00C82EF9"/>
    <w:rsid w:val="00C82F2E"/>
    <w:rsid w:val="00C832C1"/>
    <w:rsid w:val="00C83366"/>
    <w:rsid w:val="00C845EB"/>
    <w:rsid w:val="00C8471C"/>
    <w:rsid w:val="00C84D94"/>
    <w:rsid w:val="00C84E47"/>
    <w:rsid w:val="00C86856"/>
    <w:rsid w:val="00C87017"/>
    <w:rsid w:val="00C875E9"/>
    <w:rsid w:val="00C908EA"/>
    <w:rsid w:val="00C913C9"/>
    <w:rsid w:val="00C926C7"/>
    <w:rsid w:val="00C9356C"/>
    <w:rsid w:val="00C950C4"/>
    <w:rsid w:val="00C95275"/>
    <w:rsid w:val="00C95D58"/>
    <w:rsid w:val="00C965F4"/>
    <w:rsid w:val="00C97D03"/>
    <w:rsid w:val="00CA0F48"/>
    <w:rsid w:val="00CA2E3A"/>
    <w:rsid w:val="00CA3169"/>
    <w:rsid w:val="00CA3E5D"/>
    <w:rsid w:val="00CA4CEE"/>
    <w:rsid w:val="00CA5ED5"/>
    <w:rsid w:val="00CA71C6"/>
    <w:rsid w:val="00CA77DF"/>
    <w:rsid w:val="00CA7C67"/>
    <w:rsid w:val="00CA7FEC"/>
    <w:rsid w:val="00CB2322"/>
    <w:rsid w:val="00CB24BA"/>
    <w:rsid w:val="00CB27E7"/>
    <w:rsid w:val="00CB2E40"/>
    <w:rsid w:val="00CB45A1"/>
    <w:rsid w:val="00CB45CB"/>
    <w:rsid w:val="00CB553B"/>
    <w:rsid w:val="00CB5F6C"/>
    <w:rsid w:val="00CB69FD"/>
    <w:rsid w:val="00CC124E"/>
    <w:rsid w:val="00CC2BD0"/>
    <w:rsid w:val="00CC53E9"/>
    <w:rsid w:val="00CC557C"/>
    <w:rsid w:val="00CC5921"/>
    <w:rsid w:val="00CC7D65"/>
    <w:rsid w:val="00CD01F0"/>
    <w:rsid w:val="00CD07C8"/>
    <w:rsid w:val="00CD2289"/>
    <w:rsid w:val="00CD3562"/>
    <w:rsid w:val="00CD5DA3"/>
    <w:rsid w:val="00CD65BA"/>
    <w:rsid w:val="00CE052F"/>
    <w:rsid w:val="00CE068E"/>
    <w:rsid w:val="00CE0753"/>
    <w:rsid w:val="00CE0F17"/>
    <w:rsid w:val="00CE11AA"/>
    <w:rsid w:val="00CE1371"/>
    <w:rsid w:val="00CE1D1D"/>
    <w:rsid w:val="00CE3372"/>
    <w:rsid w:val="00CE3C8D"/>
    <w:rsid w:val="00CE48A1"/>
    <w:rsid w:val="00CE7FC4"/>
    <w:rsid w:val="00CF0A36"/>
    <w:rsid w:val="00CF0BD2"/>
    <w:rsid w:val="00CF1429"/>
    <w:rsid w:val="00CF2681"/>
    <w:rsid w:val="00CF2D27"/>
    <w:rsid w:val="00CF30B3"/>
    <w:rsid w:val="00CF3AB6"/>
    <w:rsid w:val="00CF41B9"/>
    <w:rsid w:val="00CF5330"/>
    <w:rsid w:val="00CF59C7"/>
    <w:rsid w:val="00CF64D9"/>
    <w:rsid w:val="00CF68D5"/>
    <w:rsid w:val="00CF69DE"/>
    <w:rsid w:val="00CF6B2C"/>
    <w:rsid w:val="00CF6DEB"/>
    <w:rsid w:val="00CF722D"/>
    <w:rsid w:val="00D00EB0"/>
    <w:rsid w:val="00D021B6"/>
    <w:rsid w:val="00D02432"/>
    <w:rsid w:val="00D02934"/>
    <w:rsid w:val="00D047E4"/>
    <w:rsid w:val="00D052C1"/>
    <w:rsid w:val="00D05AB3"/>
    <w:rsid w:val="00D05E59"/>
    <w:rsid w:val="00D06403"/>
    <w:rsid w:val="00D0693E"/>
    <w:rsid w:val="00D105D8"/>
    <w:rsid w:val="00D117C3"/>
    <w:rsid w:val="00D130A7"/>
    <w:rsid w:val="00D14299"/>
    <w:rsid w:val="00D14692"/>
    <w:rsid w:val="00D14901"/>
    <w:rsid w:val="00D15A60"/>
    <w:rsid w:val="00D15F20"/>
    <w:rsid w:val="00D174CA"/>
    <w:rsid w:val="00D177CF"/>
    <w:rsid w:val="00D22308"/>
    <w:rsid w:val="00D23F95"/>
    <w:rsid w:val="00D24598"/>
    <w:rsid w:val="00D24802"/>
    <w:rsid w:val="00D2495A"/>
    <w:rsid w:val="00D25929"/>
    <w:rsid w:val="00D26574"/>
    <w:rsid w:val="00D26A8C"/>
    <w:rsid w:val="00D301BC"/>
    <w:rsid w:val="00D309EE"/>
    <w:rsid w:val="00D30A89"/>
    <w:rsid w:val="00D30C2D"/>
    <w:rsid w:val="00D310E5"/>
    <w:rsid w:val="00D32A30"/>
    <w:rsid w:val="00D332E3"/>
    <w:rsid w:val="00D33353"/>
    <w:rsid w:val="00D339A5"/>
    <w:rsid w:val="00D351D9"/>
    <w:rsid w:val="00D35BAF"/>
    <w:rsid w:val="00D364A7"/>
    <w:rsid w:val="00D368B1"/>
    <w:rsid w:val="00D36BD7"/>
    <w:rsid w:val="00D36DF9"/>
    <w:rsid w:val="00D37519"/>
    <w:rsid w:val="00D377DE"/>
    <w:rsid w:val="00D37E1C"/>
    <w:rsid w:val="00D40403"/>
    <w:rsid w:val="00D4079C"/>
    <w:rsid w:val="00D41258"/>
    <w:rsid w:val="00D413B8"/>
    <w:rsid w:val="00D415D8"/>
    <w:rsid w:val="00D41D67"/>
    <w:rsid w:val="00D435A6"/>
    <w:rsid w:val="00D43B7D"/>
    <w:rsid w:val="00D443BA"/>
    <w:rsid w:val="00D451BA"/>
    <w:rsid w:val="00D466D3"/>
    <w:rsid w:val="00D50A45"/>
    <w:rsid w:val="00D52111"/>
    <w:rsid w:val="00D52CC2"/>
    <w:rsid w:val="00D53196"/>
    <w:rsid w:val="00D537E7"/>
    <w:rsid w:val="00D5398D"/>
    <w:rsid w:val="00D5412F"/>
    <w:rsid w:val="00D547AB"/>
    <w:rsid w:val="00D54BB3"/>
    <w:rsid w:val="00D5596E"/>
    <w:rsid w:val="00D56094"/>
    <w:rsid w:val="00D56931"/>
    <w:rsid w:val="00D574D5"/>
    <w:rsid w:val="00D57A18"/>
    <w:rsid w:val="00D601D6"/>
    <w:rsid w:val="00D60659"/>
    <w:rsid w:val="00D60D73"/>
    <w:rsid w:val="00D635FE"/>
    <w:rsid w:val="00D65B3B"/>
    <w:rsid w:val="00D66D40"/>
    <w:rsid w:val="00D675D3"/>
    <w:rsid w:val="00D67C06"/>
    <w:rsid w:val="00D70664"/>
    <w:rsid w:val="00D70ABD"/>
    <w:rsid w:val="00D717DB"/>
    <w:rsid w:val="00D727AF"/>
    <w:rsid w:val="00D7412A"/>
    <w:rsid w:val="00D74B1C"/>
    <w:rsid w:val="00D756E1"/>
    <w:rsid w:val="00D75A46"/>
    <w:rsid w:val="00D76210"/>
    <w:rsid w:val="00D77D5C"/>
    <w:rsid w:val="00D8139B"/>
    <w:rsid w:val="00D81AE9"/>
    <w:rsid w:val="00D81C52"/>
    <w:rsid w:val="00D82832"/>
    <w:rsid w:val="00D828ED"/>
    <w:rsid w:val="00D83429"/>
    <w:rsid w:val="00D8382B"/>
    <w:rsid w:val="00D840DE"/>
    <w:rsid w:val="00D842D6"/>
    <w:rsid w:val="00D858D6"/>
    <w:rsid w:val="00D85D45"/>
    <w:rsid w:val="00D86489"/>
    <w:rsid w:val="00D864D0"/>
    <w:rsid w:val="00D876BD"/>
    <w:rsid w:val="00D87BCF"/>
    <w:rsid w:val="00D87FB7"/>
    <w:rsid w:val="00D910B9"/>
    <w:rsid w:val="00D91826"/>
    <w:rsid w:val="00D91B20"/>
    <w:rsid w:val="00D92185"/>
    <w:rsid w:val="00D924A4"/>
    <w:rsid w:val="00D92C88"/>
    <w:rsid w:val="00D951D0"/>
    <w:rsid w:val="00D967DC"/>
    <w:rsid w:val="00D9709D"/>
    <w:rsid w:val="00D97164"/>
    <w:rsid w:val="00D973AB"/>
    <w:rsid w:val="00D9756E"/>
    <w:rsid w:val="00DA2A82"/>
    <w:rsid w:val="00DA2BB1"/>
    <w:rsid w:val="00DA38B5"/>
    <w:rsid w:val="00DA4B6A"/>
    <w:rsid w:val="00DA5FF7"/>
    <w:rsid w:val="00DA6230"/>
    <w:rsid w:val="00DA7832"/>
    <w:rsid w:val="00DA7F21"/>
    <w:rsid w:val="00DB0263"/>
    <w:rsid w:val="00DB02BE"/>
    <w:rsid w:val="00DB09D2"/>
    <w:rsid w:val="00DB0CCE"/>
    <w:rsid w:val="00DB2E47"/>
    <w:rsid w:val="00DB45A5"/>
    <w:rsid w:val="00DB4A6B"/>
    <w:rsid w:val="00DB57AB"/>
    <w:rsid w:val="00DB631B"/>
    <w:rsid w:val="00DB6AC3"/>
    <w:rsid w:val="00DB74CB"/>
    <w:rsid w:val="00DB7577"/>
    <w:rsid w:val="00DC0730"/>
    <w:rsid w:val="00DC214B"/>
    <w:rsid w:val="00DC45AF"/>
    <w:rsid w:val="00DC4A48"/>
    <w:rsid w:val="00DC4D51"/>
    <w:rsid w:val="00DC6185"/>
    <w:rsid w:val="00DC634E"/>
    <w:rsid w:val="00DC64A9"/>
    <w:rsid w:val="00DC726B"/>
    <w:rsid w:val="00DC7F91"/>
    <w:rsid w:val="00DD02D0"/>
    <w:rsid w:val="00DD0A0F"/>
    <w:rsid w:val="00DD0A87"/>
    <w:rsid w:val="00DD0D1A"/>
    <w:rsid w:val="00DD1EC5"/>
    <w:rsid w:val="00DD274B"/>
    <w:rsid w:val="00DD2F0B"/>
    <w:rsid w:val="00DD37E8"/>
    <w:rsid w:val="00DD3987"/>
    <w:rsid w:val="00DD3B5F"/>
    <w:rsid w:val="00DD3BCE"/>
    <w:rsid w:val="00DD4281"/>
    <w:rsid w:val="00DD432C"/>
    <w:rsid w:val="00DD43F4"/>
    <w:rsid w:val="00DD5549"/>
    <w:rsid w:val="00DD648C"/>
    <w:rsid w:val="00DD6EC5"/>
    <w:rsid w:val="00DD7F76"/>
    <w:rsid w:val="00DE07E4"/>
    <w:rsid w:val="00DE0803"/>
    <w:rsid w:val="00DE0829"/>
    <w:rsid w:val="00DE193F"/>
    <w:rsid w:val="00DE2E14"/>
    <w:rsid w:val="00DE410E"/>
    <w:rsid w:val="00DE4466"/>
    <w:rsid w:val="00DE4F72"/>
    <w:rsid w:val="00DE5A60"/>
    <w:rsid w:val="00DE5C55"/>
    <w:rsid w:val="00DE6011"/>
    <w:rsid w:val="00DE6516"/>
    <w:rsid w:val="00DE678F"/>
    <w:rsid w:val="00DE7CE9"/>
    <w:rsid w:val="00DF019B"/>
    <w:rsid w:val="00DF0205"/>
    <w:rsid w:val="00DF04D4"/>
    <w:rsid w:val="00DF071E"/>
    <w:rsid w:val="00DF0DD0"/>
    <w:rsid w:val="00DF2261"/>
    <w:rsid w:val="00DF24B3"/>
    <w:rsid w:val="00DF2C96"/>
    <w:rsid w:val="00DF2D16"/>
    <w:rsid w:val="00DF2EEF"/>
    <w:rsid w:val="00DF32C5"/>
    <w:rsid w:val="00DF3A22"/>
    <w:rsid w:val="00DF3A59"/>
    <w:rsid w:val="00DF5A66"/>
    <w:rsid w:val="00DF606D"/>
    <w:rsid w:val="00DF6D8C"/>
    <w:rsid w:val="00DF7F06"/>
    <w:rsid w:val="00E001A9"/>
    <w:rsid w:val="00E00D2E"/>
    <w:rsid w:val="00E015B6"/>
    <w:rsid w:val="00E03166"/>
    <w:rsid w:val="00E03741"/>
    <w:rsid w:val="00E055C3"/>
    <w:rsid w:val="00E0571F"/>
    <w:rsid w:val="00E11620"/>
    <w:rsid w:val="00E11793"/>
    <w:rsid w:val="00E11B85"/>
    <w:rsid w:val="00E12399"/>
    <w:rsid w:val="00E14A00"/>
    <w:rsid w:val="00E14D8B"/>
    <w:rsid w:val="00E17324"/>
    <w:rsid w:val="00E175FF"/>
    <w:rsid w:val="00E20303"/>
    <w:rsid w:val="00E20306"/>
    <w:rsid w:val="00E2063E"/>
    <w:rsid w:val="00E20B5D"/>
    <w:rsid w:val="00E217AB"/>
    <w:rsid w:val="00E21BBA"/>
    <w:rsid w:val="00E23F4C"/>
    <w:rsid w:val="00E24EB7"/>
    <w:rsid w:val="00E252D3"/>
    <w:rsid w:val="00E25569"/>
    <w:rsid w:val="00E26295"/>
    <w:rsid w:val="00E26610"/>
    <w:rsid w:val="00E26D8E"/>
    <w:rsid w:val="00E273C7"/>
    <w:rsid w:val="00E279C5"/>
    <w:rsid w:val="00E27DB4"/>
    <w:rsid w:val="00E30E30"/>
    <w:rsid w:val="00E31AE5"/>
    <w:rsid w:val="00E3241C"/>
    <w:rsid w:val="00E329DB"/>
    <w:rsid w:val="00E32A10"/>
    <w:rsid w:val="00E34B64"/>
    <w:rsid w:val="00E34C29"/>
    <w:rsid w:val="00E35329"/>
    <w:rsid w:val="00E353CD"/>
    <w:rsid w:val="00E3577A"/>
    <w:rsid w:val="00E369B3"/>
    <w:rsid w:val="00E400D9"/>
    <w:rsid w:val="00E40456"/>
    <w:rsid w:val="00E40481"/>
    <w:rsid w:val="00E40F9E"/>
    <w:rsid w:val="00E414FA"/>
    <w:rsid w:val="00E4183D"/>
    <w:rsid w:val="00E420FB"/>
    <w:rsid w:val="00E42A84"/>
    <w:rsid w:val="00E42D6D"/>
    <w:rsid w:val="00E4343F"/>
    <w:rsid w:val="00E4364C"/>
    <w:rsid w:val="00E442DD"/>
    <w:rsid w:val="00E448EF"/>
    <w:rsid w:val="00E44CBF"/>
    <w:rsid w:val="00E44E20"/>
    <w:rsid w:val="00E45F60"/>
    <w:rsid w:val="00E46E73"/>
    <w:rsid w:val="00E473B4"/>
    <w:rsid w:val="00E47EA0"/>
    <w:rsid w:val="00E51FFF"/>
    <w:rsid w:val="00E522CA"/>
    <w:rsid w:val="00E53269"/>
    <w:rsid w:val="00E53706"/>
    <w:rsid w:val="00E53898"/>
    <w:rsid w:val="00E53999"/>
    <w:rsid w:val="00E53B19"/>
    <w:rsid w:val="00E5406B"/>
    <w:rsid w:val="00E5417C"/>
    <w:rsid w:val="00E54277"/>
    <w:rsid w:val="00E56900"/>
    <w:rsid w:val="00E56E5A"/>
    <w:rsid w:val="00E5738F"/>
    <w:rsid w:val="00E603F3"/>
    <w:rsid w:val="00E60C18"/>
    <w:rsid w:val="00E62138"/>
    <w:rsid w:val="00E626F2"/>
    <w:rsid w:val="00E62786"/>
    <w:rsid w:val="00E62F13"/>
    <w:rsid w:val="00E632A2"/>
    <w:rsid w:val="00E6363A"/>
    <w:rsid w:val="00E63D98"/>
    <w:rsid w:val="00E64078"/>
    <w:rsid w:val="00E641B7"/>
    <w:rsid w:val="00E6434C"/>
    <w:rsid w:val="00E64FAB"/>
    <w:rsid w:val="00E6684F"/>
    <w:rsid w:val="00E66CF7"/>
    <w:rsid w:val="00E66D6F"/>
    <w:rsid w:val="00E66E66"/>
    <w:rsid w:val="00E67385"/>
    <w:rsid w:val="00E67A2E"/>
    <w:rsid w:val="00E70360"/>
    <w:rsid w:val="00E70CCA"/>
    <w:rsid w:val="00E70F4D"/>
    <w:rsid w:val="00E71246"/>
    <w:rsid w:val="00E73CE8"/>
    <w:rsid w:val="00E74ABD"/>
    <w:rsid w:val="00E751C6"/>
    <w:rsid w:val="00E7598E"/>
    <w:rsid w:val="00E75AE8"/>
    <w:rsid w:val="00E766FC"/>
    <w:rsid w:val="00E76810"/>
    <w:rsid w:val="00E81CDE"/>
    <w:rsid w:val="00E826FB"/>
    <w:rsid w:val="00E836E4"/>
    <w:rsid w:val="00E83F00"/>
    <w:rsid w:val="00E849B3"/>
    <w:rsid w:val="00E84EDF"/>
    <w:rsid w:val="00E85A38"/>
    <w:rsid w:val="00E866C6"/>
    <w:rsid w:val="00E86D81"/>
    <w:rsid w:val="00E86E45"/>
    <w:rsid w:val="00E87750"/>
    <w:rsid w:val="00E877E9"/>
    <w:rsid w:val="00E90051"/>
    <w:rsid w:val="00E9026B"/>
    <w:rsid w:val="00E90CFB"/>
    <w:rsid w:val="00E9208D"/>
    <w:rsid w:val="00E92D29"/>
    <w:rsid w:val="00E93033"/>
    <w:rsid w:val="00E931E1"/>
    <w:rsid w:val="00E93901"/>
    <w:rsid w:val="00E9440E"/>
    <w:rsid w:val="00E9477B"/>
    <w:rsid w:val="00E961BA"/>
    <w:rsid w:val="00E96326"/>
    <w:rsid w:val="00E966D5"/>
    <w:rsid w:val="00E96913"/>
    <w:rsid w:val="00EA10BD"/>
    <w:rsid w:val="00EA15F2"/>
    <w:rsid w:val="00EA24D7"/>
    <w:rsid w:val="00EA4650"/>
    <w:rsid w:val="00EA4DC0"/>
    <w:rsid w:val="00EA4EF4"/>
    <w:rsid w:val="00EA52F1"/>
    <w:rsid w:val="00EA5638"/>
    <w:rsid w:val="00EA5A20"/>
    <w:rsid w:val="00EA5DFA"/>
    <w:rsid w:val="00EA619C"/>
    <w:rsid w:val="00EA6EB7"/>
    <w:rsid w:val="00EA79AC"/>
    <w:rsid w:val="00EB16BB"/>
    <w:rsid w:val="00EB1887"/>
    <w:rsid w:val="00EB1F75"/>
    <w:rsid w:val="00EB336D"/>
    <w:rsid w:val="00EB4A09"/>
    <w:rsid w:val="00EB4CDC"/>
    <w:rsid w:val="00EB5216"/>
    <w:rsid w:val="00EB5DED"/>
    <w:rsid w:val="00EB6395"/>
    <w:rsid w:val="00EB673E"/>
    <w:rsid w:val="00EB70D5"/>
    <w:rsid w:val="00EB7117"/>
    <w:rsid w:val="00EC014B"/>
    <w:rsid w:val="00EC0664"/>
    <w:rsid w:val="00EC0ED9"/>
    <w:rsid w:val="00EC1580"/>
    <w:rsid w:val="00EC2CC6"/>
    <w:rsid w:val="00EC3203"/>
    <w:rsid w:val="00EC3335"/>
    <w:rsid w:val="00EC73F1"/>
    <w:rsid w:val="00EC7889"/>
    <w:rsid w:val="00ED0A93"/>
    <w:rsid w:val="00ED0E4D"/>
    <w:rsid w:val="00ED2CD6"/>
    <w:rsid w:val="00ED316B"/>
    <w:rsid w:val="00ED3882"/>
    <w:rsid w:val="00ED3FBB"/>
    <w:rsid w:val="00ED41B7"/>
    <w:rsid w:val="00ED4E5D"/>
    <w:rsid w:val="00ED5D8D"/>
    <w:rsid w:val="00ED5E9D"/>
    <w:rsid w:val="00ED7275"/>
    <w:rsid w:val="00ED7E85"/>
    <w:rsid w:val="00EE1060"/>
    <w:rsid w:val="00EE152A"/>
    <w:rsid w:val="00EE3193"/>
    <w:rsid w:val="00EE35B0"/>
    <w:rsid w:val="00EE3843"/>
    <w:rsid w:val="00EE3C99"/>
    <w:rsid w:val="00EE3F0E"/>
    <w:rsid w:val="00EE4835"/>
    <w:rsid w:val="00EE48EA"/>
    <w:rsid w:val="00EE6C26"/>
    <w:rsid w:val="00EE75F1"/>
    <w:rsid w:val="00EF06E9"/>
    <w:rsid w:val="00EF0895"/>
    <w:rsid w:val="00EF1426"/>
    <w:rsid w:val="00EF2647"/>
    <w:rsid w:val="00EF31CF"/>
    <w:rsid w:val="00EF3482"/>
    <w:rsid w:val="00EF425E"/>
    <w:rsid w:val="00EF4CA0"/>
    <w:rsid w:val="00EF4EC3"/>
    <w:rsid w:val="00EF554E"/>
    <w:rsid w:val="00EF680F"/>
    <w:rsid w:val="00EF7105"/>
    <w:rsid w:val="00EF76CE"/>
    <w:rsid w:val="00F0000C"/>
    <w:rsid w:val="00F02D7B"/>
    <w:rsid w:val="00F02F23"/>
    <w:rsid w:val="00F03706"/>
    <w:rsid w:val="00F03730"/>
    <w:rsid w:val="00F073A6"/>
    <w:rsid w:val="00F077B7"/>
    <w:rsid w:val="00F07FEE"/>
    <w:rsid w:val="00F103EB"/>
    <w:rsid w:val="00F104B2"/>
    <w:rsid w:val="00F11109"/>
    <w:rsid w:val="00F133F5"/>
    <w:rsid w:val="00F16918"/>
    <w:rsid w:val="00F17A97"/>
    <w:rsid w:val="00F20371"/>
    <w:rsid w:val="00F20ED7"/>
    <w:rsid w:val="00F22042"/>
    <w:rsid w:val="00F226FA"/>
    <w:rsid w:val="00F22A47"/>
    <w:rsid w:val="00F22E31"/>
    <w:rsid w:val="00F241EA"/>
    <w:rsid w:val="00F246B8"/>
    <w:rsid w:val="00F26205"/>
    <w:rsid w:val="00F26461"/>
    <w:rsid w:val="00F2661D"/>
    <w:rsid w:val="00F26D29"/>
    <w:rsid w:val="00F274C7"/>
    <w:rsid w:val="00F27A0E"/>
    <w:rsid w:val="00F27B6B"/>
    <w:rsid w:val="00F30AFE"/>
    <w:rsid w:val="00F33040"/>
    <w:rsid w:val="00F34835"/>
    <w:rsid w:val="00F349C6"/>
    <w:rsid w:val="00F34B2A"/>
    <w:rsid w:val="00F365AB"/>
    <w:rsid w:val="00F3676B"/>
    <w:rsid w:val="00F36ABD"/>
    <w:rsid w:val="00F36B22"/>
    <w:rsid w:val="00F36D80"/>
    <w:rsid w:val="00F3708C"/>
    <w:rsid w:val="00F37A46"/>
    <w:rsid w:val="00F37BAB"/>
    <w:rsid w:val="00F37DAB"/>
    <w:rsid w:val="00F37DCA"/>
    <w:rsid w:val="00F40BA1"/>
    <w:rsid w:val="00F40CA8"/>
    <w:rsid w:val="00F42F4B"/>
    <w:rsid w:val="00F43E0E"/>
    <w:rsid w:val="00F43E56"/>
    <w:rsid w:val="00F446A0"/>
    <w:rsid w:val="00F44C5B"/>
    <w:rsid w:val="00F44E91"/>
    <w:rsid w:val="00F4547F"/>
    <w:rsid w:val="00F457CD"/>
    <w:rsid w:val="00F509BC"/>
    <w:rsid w:val="00F50EED"/>
    <w:rsid w:val="00F52CE8"/>
    <w:rsid w:val="00F52D3E"/>
    <w:rsid w:val="00F53174"/>
    <w:rsid w:val="00F5366C"/>
    <w:rsid w:val="00F53B5F"/>
    <w:rsid w:val="00F551FD"/>
    <w:rsid w:val="00F55403"/>
    <w:rsid w:val="00F5592A"/>
    <w:rsid w:val="00F55FFD"/>
    <w:rsid w:val="00F57818"/>
    <w:rsid w:val="00F57B89"/>
    <w:rsid w:val="00F61250"/>
    <w:rsid w:val="00F61259"/>
    <w:rsid w:val="00F619B9"/>
    <w:rsid w:val="00F62C0B"/>
    <w:rsid w:val="00F63686"/>
    <w:rsid w:val="00F63818"/>
    <w:rsid w:val="00F639E7"/>
    <w:rsid w:val="00F64869"/>
    <w:rsid w:val="00F64F45"/>
    <w:rsid w:val="00F653A9"/>
    <w:rsid w:val="00F666E9"/>
    <w:rsid w:val="00F66FF0"/>
    <w:rsid w:val="00F67316"/>
    <w:rsid w:val="00F67D0F"/>
    <w:rsid w:val="00F70218"/>
    <w:rsid w:val="00F717BF"/>
    <w:rsid w:val="00F71E5A"/>
    <w:rsid w:val="00F732B4"/>
    <w:rsid w:val="00F73BBB"/>
    <w:rsid w:val="00F74507"/>
    <w:rsid w:val="00F75191"/>
    <w:rsid w:val="00F76FB3"/>
    <w:rsid w:val="00F7794D"/>
    <w:rsid w:val="00F8131C"/>
    <w:rsid w:val="00F821A2"/>
    <w:rsid w:val="00F82B36"/>
    <w:rsid w:val="00F84055"/>
    <w:rsid w:val="00F84F90"/>
    <w:rsid w:val="00F857F1"/>
    <w:rsid w:val="00F8584B"/>
    <w:rsid w:val="00F85D69"/>
    <w:rsid w:val="00F86157"/>
    <w:rsid w:val="00F863FE"/>
    <w:rsid w:val="00F86495"/>
    <w:rsid w:val="00F8739B"/>
    <w:rsid w:val="00F9041A"/>
    <w:rsid w:val="00F91CE4"/>
    <w:rsid w:val="00F92214"/>
    <w:rsid w:val="00F9277B"/>
    <w:rsid w:val="00F92B3C"/>
    <w:rsid w:val="00F92CAE"/>
    <w:rsid w:val="00F9354C"/>
    <w:rsid w:val="00F93EC7"/>
    <w:rsid w:val="00F9442B"/>
    <w:rsid w:val="00F96394"/>
    <w:rsid w:val="00F96527"/>
    <w:rsid w:val="00F9714F"/>
    <w:rsid w:val="00F9752C"/>
    <w:rsid w:val="00F9752F"/>
    <w:rsid w:val="00FA07F5"/>
    <w:rsid w:val="00FA087D"/>
    <w:rsid w:val="00FA0AB5"/>
    <w:rsid w:val="00FA0DDE"/>
    <w:rsid w:val="00FA2B8B"/>
    <w:rsid w:val="00FA2D40"/>
    <w:rsid w:val="00FA30D7"/>
    <w:rsid w:val="00FA34A3"/>
    <w:rsid w:val="00FA3BA4"/>
    <w:rsid w:val="00FA403D"/>
    <w:rsid w:val="00FA477B"/>
    <w:rsid w:val="00FA57AB"/>
    <w:rsid w:val="00FA6225"/>
    <w:rsid w:val="00FA6A30"/>
    <w:rsid w:val="00FA7612"/>
    <w:rsid w:val="00FA7A0B"/>
    <w:rsid w:val="00FB067A"/>
    <w:rsid w:val="00FB06AD"/>
    <w:rsid w:val="00FB0CD9"/>
    <w:rsid w:val="00FB187D"/>
    <w:rsid w:val="00FB1939"/>
    <w:rsid w:val="00FB1C0D"/>
    <w:rsid w:val="00FB2E09"/>
    <w:rsid w:val="00FB5086"/>
    <w:rsid w:val="00FB5568"/>
    <w:rsid w:val="00FB6409"/>
    <w:rsid w:val="00FB661B"/>
    <w:rsid w:val="00FB73E5"/>
    <w:rsid w:val="00FC02BC"/>
    <w:rsid w:val="00FC0906"/>
    <w:rsid w:val="00FC09FA"/>
    <w:rsid w:val="00FC16DF"/>
    <w:rsid w:val="00FC213D"/>
    <w:rsid w:val="00FC21C6"/>
    <w:rsid w:val="00FC2F8A"/>
    <w:rsid w:val="00FC5914"/>
    <w:rsid w:val="00FC591F"/>
    <w:rsid w:val="00FC68BC"/>
    <w:rsid w:val="00FC6EFF"/>
    <w:rsid w:val="00FD1050"/>
    <w:rsid w:val="00FD1A76"/>
    <w:rsid w:val="00FD1C98"/>
    <w:rsid w:val="00FD1E1F"/>
    <w:rsid w:val="00FD208F"/>
    <w:rsid w:val="00FD2BAD"/>
    <w:rsid w:val="00FD3DDF"/>
    <w:rsid w:val="00FD3F2C"/>
    <w:rsid w:val="00FD4FE7"/>
    <w:rsid w:val="00FD5EED"/>
    <w:rsid w:val="00FD6CC7"/>
    <w:rsid w:val="00FD70CD"/>
    <w:rsid w:val="00FE0469"/>
    <w:rsid w:val="00FE0CFA"/>
    <w:rsid w:val="00FE0DC9"/>
    <w:rsid w:val="00FE16F6"/>
    <w:rsid w:val="00FE2835"/>
    <w:rsid w:val="00FE2957"/>
    <w:rsid w:val="00FE2B02"/>
    <w:rsid w:val="00FE3694"/>
    <w:rsid w:val="00FE4653"/>
    <w:rsid w:val="00FE5909"/>
    <w:rsid w:val="00FF00E7"/>
    <w:rsid w:val="00FF0986"/>
    <w:rsid w:val="00FF09A1"/>
    <w:rsid w:val="00FF1C4E"/>
    <w:rsid w:val="00FF2EA4"/>
    <w:rsid w:val="00FF4F00"/>
    <w:rsid w:val="00FF4F30"/>
    <w:rsid w:val="00FF525B"/>
    <w:rsid w:val="00FF5B11"/>
    <w:rsid w:val="00FF6010"/>
    <w:rsid w:val="00FF76C4"/>
    <w:rsid w:val="0F1FF290"/>
    <w:rsid w:val="19CE68F4"/>
    <w:rsid w:val="28AD7F47"/>
    <w:rsid w:val="5E554853"/>
    <w:rsid w:val="FFBFA172"/>
    <w:rsid w:val="FFED066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uiPriority="0" w:semiHidden="0" w:name="header"/>
    <w:lsdException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99"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2"/>
    <w:next w:val="1"/>
    <w:link w:val="28"/>
    <w:unhideWhenUsed/>
    <w:qFormat/>
    <w:uiPriority w:val="9"/>
    <w:pPr>
      <w:numPr>
        <w:ilvl w:val="0"/>
        <w:numId w:val="1"/>
      </w:numPr>
      <w:spacing w:before="0" w:after="0" w:line="360" w:lineRule="auto"/>
      <w:jc w:val="center"/>
      <w:outlineLvl w:val="1"/>
    </w:pPr>
    <w:rPr>
      <w:rFonts w:ascii="Times New Roman" w:hAnsi="Times New Roman" w:eastAsia="仿宋" w:cs="Times New Roman"/>
      <w:kern w:val="0"/>
      <w:sz w:val="30"/>
      <w:szCs w:val="30"/>
    </w:rPr>
  </w:style>
  <w:style w:type="paragraph" w:styleId="4">
    <w:name w:val="heading 3"/>
    <w:basedOn w:val="5"/>
    <w:next w:val="1"/>
    <w:link w:val="30"/>
    <w:unhideWhenUsed/>
    <w:qFormat/>
    <w:uiPriority w:val="9"/>
    <w:pPr>
      <w:numPr>
        <w:ilvl w:val="0"/>
        <w:numId w:val="2"/>
      </w:numPr>
      <w:spacing w:line="360" w:lineRule="auto"/>
      <w:ind w:firstLine="0" w:firstLineChars="0"/>
      <w:jc w:val="center"/>
      <w:outlineLvl w:val="2"/>
    </w:pPr>
    <w:rPr>
      <w:rFonts w:ascii="仿宋" w:hAnsi="仿宋" w:eastAsia="仿宋" w:cs="Times New Roman"/>
      <w:b/>
      <w:sz w:val="30"/>
      <w:szCs w:val="30"/>
    </w:rPr>
  </w:style>
  <w:style w:type="character" w:default="1" w:styleId="22">
    <w:name w:val="Default Paragraph Font"/>
    <w:semiHidden/>
    <w:unhideWhenUsed/>
    <w:uiPriority w:val="1"/>
  </w:style>
  <w:style w:type="table" w:default="1" w:styleId="21">
    <w:name w:val="Normal Table"/>
    <w:semiHidden/>
    <w:unhideWhenUsed/>
    <w:uiPriority w:val="99"/>
    <w:tblPr>
      <w:tblLayout w:type="fixed"/>
      <w:tblCellMar>
        <w:top w:w="0" w:type="dxa"/>
        <w:left w:w="108" w:type="dxa"/>
        <w:bottom w:w="0" w:type="dxa"/>
        <w:right w:w="108" w:type="dxa"/>
      </w:tblCellMar>
    </w:tblPr>
  </w:style>
  <w:style w:type="paragraph" w:customStyle="1" w:styleId="5">
    <w:name w:val="列出段落1"/>
    <w:basedOn w:val="1"/>
    <w:link w:val="29"/>
    <w:qFormat/>
    <w:uiPriority w:val="34"/>
    <w:pPr>
      <w:ind w:firstLine="420" w:firstLineChars="200"/>
    </w:pPr>
  </w:style>
  <w:style w:type="paragraph" w:styleId="6">
    <w:name w:val="Normal Indent"/>
    <w:basedOn w:val="1"/>
    <w:link w:val="31"/>
    <w:qFormat/>
    <w:uiPriority w:val="0"/>
    <w:pPr>
      <w:ind w:firstLine="420" w:firstLineChars="200"/>
    </w:pPr>
    <w:rPr>
      <w:rFonts w:ascii="Times New Roman" w:hAnsi="Times New Roman" w:cs="Times New Roman"/>
      <w:sz w:val="24"/>
      <w:szCs w:val="24"/>
    </w:rPr>
  </w:style>
  <w:style w:type="paragraph" w:styleId="7">
    <w:name w:val="caption"/>
    <w:basedOn w:val="1"/>
    <w:next w:val="1"/>
    <w:unhideWhenUsed/>
    <w:qFormat/>
    <w:uiPriority w:val="35"/>
    <w:rPr>
      <w:rFonts w:ascii="Cambria" w:hAnsi="Cambria" w:eastAsia="黑体" w:cs="Times New Roman"/>
      <w:sz w:val="20"/>
      <w:szCs w:val="20"/>
    </w:rPr>
  </w:style>
  <w:style w:type="paragraph" w:styleId="8">
    <w:name w:val="Document Map"/>
    <w:basedOn w:val="1"/>
    <w:link w:val="43"/>
    <w:semiHidden/>
    <w:unhideWhenUsed/>
    <w:uiPriority w:val="99"/>
    <w:rPr>
      <w:rFonts w:ascii="宋体" w:cs="Times New Roman"/>
      <w:sz w:val="18"/>
      <w:szCs w:val="18"/>
    </w:rPr>
  </w:style>
  <w:style w:type="paragraph" w:styleId="9">
    <w:name w:val="annotation text"/>
    <w:basedOn w:val="1"/>
    <w:link w:val="32"/>
    <w:unhideWhenUsed/>
    <w:qFormat/>
    <w:uiPriority w:val="99"/>
    <w:pPr>
      <w:jc w:val="left"/>
    </w:pPr>
    <w:rPr>
      <w:rFonts w:cs="Times New Roman"/>
    </w:rPr>
  </w:style>
  <w:style w:type="paragraph" w:styleId="10">
    <w:name w:val="Body Text Indent"/>
    <w:basedOn w:val="1"/>
    <w:link w:val="41"/>
    <w:qFormat/>
    <w:uiPriority w:val="0"/>
    <w:pPr>
      <w:adjustRightInd w:val="0"/>
      <w:snapToGrid w:val="0"/>
      <w:spacing w:line="360" w:lineRule="auto"/>
      <w:ind w:firstLine="570"/>
    </w:pPr>
    <w:rPr>
      <w:rFonts w:ascii="Times New Roman" w:hAnsi="Times New Roman" w:cs="Times New Roman"/>
      <w:w w:val="90"/>
      <w:kern w:val="0"/>
      <w:sz w:val="32"/>
      <w:szCs w:val="24"/>
    </w:rPr>
  </w:style>
  <w:style w:type="paragraph" w:styleId="11">
    <w:name w:val="toc 3"/>
    <w:basedOn w:val="1"/>
    <w:next w:val="1"/>
    <w:unhideWhenUsed/>
    <w:uiPriority w:val="39"/>
    <w:pPr>
      <w:ind w:left="840" w:leftChars="400"/>
    </w:pPr>
  </w:style>
  <w:style w:type="paragraph" w:styleId="12">
    <w:name w:val="Plain Text"/>
    <w:basedOn w:val="1"/>
    <w:link w:val="50"/>
    <w:unhideWhenUsed/>
    <w:qFormat/>
    <w:uiPriority w:val="99"/>
    <w:pPr>
      <w:jc w:val="left"/>
    </w:pPr>
    <w:rPr>
      <w:rFonts w:ascii="仿宋" w:hAnsi="仿宋" w:eastAsia="仿宋" w:cs="Courier New"/>
      <w:sz w:val="28"/>
      <w:szCs w:val="21"/>
    </w:rPr>
  </w:style>
  <w:style w:type="paragraph" w:styleId="13">
    <w:name w:val="Balloon Text"/>
    <w:basedOn w:val="1"/>
    <w:link w:val="33"/>
    <w:unhideWhenUsed/>
    <w:uiPriority w:val="99"/>
    <w:rPr>
      <w:sz w:val="18"/>
      <w:szCs w:val="18"/>
    </w:rPr>
  </w:style>
  <w:style w:type="paragraph" w:styleId="14">
    <w:name w:val="footer"/>
    <w:basedOn w:val="1"/>
    <w:link w:val="34"/>
    <w:unhideWhenUsed/>
    <w:uiPriority w:val="99"/>
    <w:pPr>
      <w:tabs>
        <w:tab w:val="center" w:pos="4153"/>
        <w:tab w:val="right" w:pos="8306"/>
      </w:tabs>
      <w:snapToGrid w:val="0"/>
      <w:jc w:val="left"/>
    </w:pPr>
    <w:rPr>
      <w:sz w:val="18"/>
      <w:szCs w:val="18"/>
    </w:rPr>
  </w:style>
  <w:style w:type="paragraph" w:styleId="15">
    <w:name w:val="header"/>
    <w:basedOn w:val="1"/>
    <w:link w:val="35"/>
    <w:unhideWhenUsed/>
    <w:uiPriority w:val="0"/>
    <w:pPr>
      <w:pBdr>
        <w:bottom w:val="single" w:color="auto" w:sz="6" w:space="1"/>
      </w:pBdr>
      <w:tabs>
        <w:tab w:val="center" w:pos="4153"/>
        <w:tab w:val="right" w:pos="8306"/>
      </w:tabs>
      <w:snapToGrid w:val="0"/>
      <w:jc w:val="center"/>
    </w:pPr>
    <w:rPr>
      <w:rFonts w:cs="Times New Roman"/>
      <w:sz w:val="18"/>
      <w:szCs w:val="18"/>
    </w:rPr>
  </w:style>
  <w:style w:type="paragraph" w:styleId="16">
    <w:name w:val="toc 1"/>
    <w:basedOn w:val="1"/>
    <w:next w:val="1"/>
    <w:uiPriority w:val="39"/>
    <w:pPr>
      <w:tabs>
        <w:tab w:val="left" w:pos="1050"/>
        <w:tab w:val="right" w:leader="dot" w:pos="8296"/>
      </w:tabs>
    </w:pPr>
    <w:rPr>
      <w:rFonts w:ascii="仿宋" w:hAnsi="仿宋" w:eastAsia="仿宋" w:cs="Times New Roman"/>
      <w:kern w:val="0"/>
      <w:sz w:val="28"/>
      <w:szCs w:val="28"/>
    </w:rPr>
  </w:style>
  <w:style w:type="paragraph" w:styleId="17">
    <w:name w:val="footnote text"/>
    <w:basedOn w:val="1"/>
    <w:link w:val="44"/>
    <w:semiHidden/>
    <w:unhideWhenUsed/>
    <w:uiPriority w:val="99"/>
    <w:pPr>
      <w:snapToGrid w:val="0"/>
      <w:jc w:val="left"/>
    </w:pPr>
    <w:rPr>
      <w:rFonts w:cs="Times New Roman"/>
      <w:sz w:val="18"/>
      <w:szCs w:val="18"/>
    </w:rPr>
  </w:style>
  <w:style w:type="paragraph" w:styleId="18">
    <w:name w:val="toc 2"/>
    <w:basedOn w:val="1"/>
    <w:next w:val="1"/>
    <w:unhideWhenUsed/>
    <w:uiPriority w:val="39"/>
    <w:pPr>
      <w:ind w:left="420" w:leftChars="200"/>
    </w:pPr>
  </w:style>
  <w:style w:type="paragraph" w:styleId="19">
    <w:name w:val="Title"/>
    <w:basedOn w:val="1"/>
    <w:next w:val="1"/>
    <w:link w:val="53"/>
    <w:qFormat/>
    <w:uiPriority w:val="0"/>
    <w:pPr>
      <w:adjustRightInd w:val="0"/>
      <w:snapToGrid w:val="0"/>
      <w:spacing w:before="240" w:beforeLines="50" w:after="60" w:afterLines="50"/>
      <w:jc w:val="center"/>
      <w:outlineLvl w:val="0"/>
    </w:pPr>
    <w:rPr>
      <w:rFonts w:ascii="Cambria" w:hAnsi="Cambria" w:eastAsia="仿宋" w:cs="Times New Roman"/>
      <w:b/>
      <w:bCs/>
      <w:sz w:val="32"/>
      <w:szCs w:val="32"/>
    </w:rPr>
  </w:style>
  <w:style w:type="paragraph" w:styleId="20">
    <w:name w:val="annotation subject"/>
    <w:basedOn w:val="9"/>
    <w:next w:val="9"/>
    <w:link w:val="42"/>
    <w:semiHidden/>
    <w:unhideWhenUsed/>
    <w:uiPriority w:val="99"/>
    <w:rPr>
      <w:b/>
      <w:bCs/>
    </w:rPr>
  </w:style>
  <w:style w:type="character" w:styleId="23">
    <w:name w:val="Strong"/>
    <w:qFormat/>
    <w:uiPriority w:val="22"/>
    <w:rPr>
      <w:b/>
      <w:bCs/>
    </w:rPr>
  </w:style>
  <w:style w:type="character" w:styleId="24">
    <w:name w:val="Hyperlink"/>
    <w:uiPriority w:val="99"/>
    <w:rPr>
      <w:color w:val="0000FF"/>
      <w:u w:val="single"/>
    </w:rPr>
  </w:style>
  <w:style w:type="character" w:styleId="25">
    <w:name w:val="annotation reference"/>
    <w:unhideWhenUsed/>
    <w:qFormat/>
    <w:uiPriority w:val="99"/>
    <w:rPr>
      <w:sz w:val="21"/>
      <w:szCs w:val="21"/>
    </w:rPr>
  </w:style>
  <w:style w:type="character" w:styleId="26">
    <w:name w:val="footnote reference"/>
    <w:basedOn w:val="22"/>
    <w:semiHidden/>
    <w:unhideWhenUsed/>
    <w:uiPriority w:val="99"/>
    <w:rPr>
      <w:vertAlign w:val="superscript"/>
    </w:rPr>
  </w:style>
  <w:style w:type="character" w:customStyle="1" w:styleId="27">
    <w:name w:val="标题 1 Char"/>
    <w:link w:val="2"/>
    <w:uiPriority w:val="0"/>
    <w:rPr>
      <w:b/>
      <w:bCs/>
      <w:kern w:val="44"/>
      <w:sz w:val="44"/>
      <w:szCs w:val="44"/>
    </w:rPr>
  </w:style>
  <w:style w:type="character" w:customStyle="1" w:styleId="28">
    <w:name w:val="标题 2 Char"/>
    <w:link w:val="3"/>
    <w:uiPriority w:val="9"/>
    <w:rPr>
      <w:rFonts w:eastAsia="仿宋"/>
      <w:b/>
      <w:bCs/>
      <w:sz w:val="30"/>
      <w:szCs w:val="30"/>
    </w:rPr>
  </w:style>
  <w:style w:type="character" w:customStyle="1" w:styleId="29">
    <w:name w:val="列出段落 Char"/>
    <w:basedOn w:val="22"/>
    <w:link w:val="5"/>
    <w:uiPriority w:val="34"/>
  </w:style>
  <w:style w:type="character" w:customStyle="1" w:styleId="30">
    <w:name w:val="标题 3 Char"/>
    <w:link w:val="4"/>
    <w:uiPriority w:val="9"/>
    <w:rPr>
      <w:rFonts w:ascii="仿宋" w:hAnsi="仿宋" w:eastAsia="仿宋"/>
      <w:b/>
      <w:kern w:val="2"/>
      <w:sz w:val="30"/>
      <w:szCs w:val="30"/>
    </w:rPr>
  </w:style>
  <w:style w:type="character" w:customStyle="1" w:styleId="31">
    <w:name w:val="正文缩进 Char"/>
    <w:link w:val="6"/>
    <w:uiPriority w:val="0"/>
    <w:rPr>
      <w:rFonts w:ascii="Times New Roman" w:hAnsi="Times New Roman" w:eastAsia="宋体" w:cs="Times New Roman"/>
      <w:sz w:val="24"/>
      <w:szCs w:val="24"/>
    </w:rPr>
  </w:style>
  <w:style w:type="character" w:customStyle="1" w:styleId="32">
    <w:name w:val="批注文字 Char"/>
    <w:link w:val="9"/>
    <w:qFormat/>
    <w:uiPriority w:val="99"/>
    <w:rPr>
      <w:rFonts w:ascii="Calibri" w:hAnsi="Calibri" w:eastAsia="宋体" w:cs="Times New Roman"/>
    </w:rPr>
  </w:style>
  <w:style w:type="character" w:customStyle="1" w:styleId="33">
    <w:name w:val="批注框文本 Char"/>
    <w:link w:val="13"/>
    <w:semiHidden/>
    <w:uiPriority w:val="99"/>
    <w:rPr>
      <w:sz w:val="18"/>
      <w:szCs w:val="18"/>
    </w:rPr>
  </w:style>
  <w:style w:type="character" w:customStyle="1" w:styleId="34">
    <w:name w:val="页脚 Char"/>
    <w:link w:val="14"/>
    <w:uiPriority w:val="99"/>
    <w:rPr>
      <w:sz w:val="18"/>
      <w:szCs w:val="18"/>
    </w:rPr>
  </w:style>
  <w:style w:type="character" w:customStyle="1" w:styleId="35">
    <w:name w:val="页眉 Char"/>
    <w:link w:val="15"/>
    <w:uiPriority w:val="0"/>
    <w:rPr>
      <w:rFonts w:ascii="Calibri" w:hAnsi="Calibri" w:eastAsia="宋体" w:cs="Times New Roman"/>
      <w:sz w:val="18"/>
      <w:szCs w:val="18"/>
    </w:rPr>
  </w:style>
  <w:style w:type="paragraph" w:customStyle="1" w:styleId="36">
    <w:name w:val="Defaul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7">
    <w:name w:val="列出段落11"/>
    <w:basedOn w:val="1"/>
    <w:qFormat/>
    <w:uiPriority w:val="34"/>
    <w:pPr>
      <w:ind w:firstLine="420" w:firstLineChars="200"/>
    </w:pPr>
  </w:style>
  <w:style w:type="paragraph" w:customStyle="1" w:styleId="38">
    <w:name w:val="TOC 标题1"/>
    <w:basedOn w:val="2"/>
    <w:next w:val="1"/>
    <w:unhideWhenUsed/>
    <w:qFormat/>
    <w:uiPriority w:val="39"/>
    <w:pPr>
      <w:widowControl/>
      <w:spacing w:before="240" w:after="0" w:line="259" w:lineRule="auto"/>
      <w:jc w:val="left"/>
      <w:outlineLvl w:val="9"/>
    </w:pPr>
    <w:rPr>
      <w:rFonts w:ascii="Calibri Light" w:hAnsi="Calibri Light"/>
      <w:b w:val="0"/>
      <w:bCs w:val="0"/>
      <w:color w:val="2D73B3"/>
      <w:kern w:val="0"/>
      <w:sz w:val="32"/>
      <w:szCs w:val="32"/>
    </w:rPr>
  </w:style>
  <w:style w:type="character" w:customStyle="1" w:styleId="39">
    <w:name w:val="明显参考1"/>
    <w:qFormat/>
    <w:uiPriority w:val="32"/>
    <w:rPr>
      <w:b/>
      <w:bCs/>
      <w:smallCaps/>
      <w:color w:val="5B9BD5"/>
      <w:spacing w:val="5"/>
    </w:rPr>
  </w:style>
  <w:style w:type="paragraph" w:styleId="40">
    <w:name w:val="List Paragraph"/>
    <w:basedOn w:val="1"/>
    <w:qFormat/>
    <w:uiPriority w:val="34"/>
    <w:pPr>
      <w:ind w:firstLine="420" w:firstLineChars="200"/>
    </w:pPr>
    <w:rPr>
      <w:rFonts w:cs="Times New Roman"/>
    </w:rPr>
  </w:style>
  <w:style w:type="character" w:customStyle="1" w:styleId="41">
    <w:name w:val="正文文本缩进 Char"/>
    <w:link w:val="10"/>
    <w:uiPriority w:val="0"/>
    <w:rPr>
      <w:w w:val="90"/>
      <w:sz w:val="32"/>
      <w:szCs w:val="24"/>
    </w:rPr>
  </w:style>
  <w:style w:type="character" w:customStyle="1" w:styleId="42">
    <w:name w:val="批注主题 Char"/>
    <w:link w:val="20"/>
    <w:semiHidden/>
    <w:uiPriority w:val="99"/>
    <w:rPr>
      <w:rFonts w:ascii="Calibri" w:hAnsi="Calibri" w:eastAsia="宋体" w:cs="Times New Roman"/>
      <w:b/>
      <w:bCs/>
      <w:kern w:val="2"/>
      <w:sz w:val="21"/>
      <w:szCs w:val="22"/>
    </w:rPr>
  </w:style>
  <w:style w:type="character" w:customStyle="1" w:styleId="43">
    <w:name w:val="文档结构图 Char"/>
    <w:link w:val="8"/>
    <w:semiHidden/>
    <w:uiPriority w:val="99"/>
    <w:rPr>
      <w:rFonts w:ascii="宋体" w:hAnsi="Calibri"/>
      <w:kern w:val="2"/>
      <w:sz w:val="18"/>
      <w:szCs w:val="18"/>
    </w:rPr>
  </w:style>
  <w:style w:type="character" w:customStyle="1" w:styleId="44">
    <w:name w:val="脚注文本 Char"/>
    <w:link w:val="17"/>
    <w:semiHidden/>
    <w:uiPriority w:val="99"/>
    <w:rPr>
      <w:rFonts w:ascii="Calibri" w:hAnsi="Calibri"/>
      <w:kern w:val="2"/>
      <w:sz w:val="18"/>
      <w:szCs w:val="18"/>
    </w:rPr>
  </w:style>
  <w:style w:type="paragraph" w:customStyle="1" w:styleId="45">
    <w:name w:val="正文1"/>
    <w:basedOn w:val="1"/>
    <w:link w:val="46"/>
    <w:qFormat/>
    <w:uiPriority w:val="0"/>
    <w:pPr>
      <w:ind w:firstLine="567" w:firstLineChars="189"/>
    </w:pPr>
    <w:rPr>
      <w:rFonts w:ascii="仿宋" w:hAnsi="仿宋" w:eastAsia="仿宋" w:cs="Times New Roman"/>
      <w:sz w:val="30"/>
      <w:szCs w:val="30"/>
      <w:lang w:val="zh-CN"/>
    </w:rPr>
  </w:style>
  <w:style w:type="character" w:customStyle="1" w:styleId="46">
    <w:name w:val="正文 Char"/>
    <w:link w:val="45"/>
    <w:uiPriority w:val="0"/>
    <w:rPr>
      <w:rFonts w:ascii="仿宋" w:hAnsi="仿宋" w:eastAsia="仿宋"/>
      <w:kern w:val="2"/>
      <w:sz w:val="30"/>
      <w:szCs w:val="30"/>
      <w:lang w:val="zh-CN"/>
    </w:rPr>
  </w:style>
  <w:style w:type="paragraph" w:customStyle="1" w:styleId="47">
    <w:name w:val="TOC Heading"/>
    <w:basedOn w:val="2"/>
    <w:next w:val="1"/>
    <w:unhideWhenUsed/>
    <w:qFormat/>
    <w:uiPriority w:val="39"/>
    <w:pPr>
      <w:widowControl/>
      <w:spacing w:before="240" w:after="0" w:line="259" w:lineRule="auto"/>
      <w:jc w:val="left"/>
      <w:outlineLvl w:val="9"/>
    </w:pPr>
    <w:rPr>
      <w:rFonts w:ascii="Calibri Light" w:hAnsi="Calibri Light" w:cs="Times New Roman"/>
      <w:b w:val="0"/>
      <w:bCs w:val="0"/>
      <w:color w:val="2E74B5"/>
      <w:kern w:val="0"/>
      <w:sz w:val="32"/>
      <w:szCs w:val="32"/>
    </w:rPr>
  </w:style>
  <w:style w:type="paragraph" w:customStyle="1" w:styleId="48">
    <w:name w:val="Revision"/>
    <w:hidden/>
    <w:semiHidden/>
    <w:uiPriority w:val="99"/>
    <w:rPr>
      <w:rFonts w:ascii="Calibri" w:hAnsi="Calibri" w:eastAsia="宋体" w:cs="黑体"/>
      <w:kern w:val="2"/>
      <w:sz w:val="21"/>
      <w:szCs w:val="22"/>
      <w:lang w:val="en-US" w:eastAsia="zh-CN" w:bidi="ar-SA"/>
    </w:rPr>
  </w:style>
  <w:style w:type="character" w:styleId="49">
    <w:name w:val="Placeholder Text"/>
    <w:basedOn w:val="22"/>
    <w:semiHidden/>
    <w:qFormat/>
    <w:uiPriority w:val="99"/>
    <w:rPr>
      <w:color w:val="808080"/>
    </w:rPr>
  </w:style>
  <w:style w:type="character" w:customStyle="1" w:styleId="50">
    <w:name w:val="纯文本 Char"/>
    <w:basedOn w:val="22"/>
    <w:link w:val="12"/>
    <w:qFormat/>
    <w:uiPriority w:val="99"/>
    <w:rPr>
      <w:rFonts w:ascii="仿宋" w:hAnsi="仿宋" w:eastAsia="仿宋" w:cs="Courier New"/>
      <w:kern w:val="2"/>
      <w:sz w:val="28"/>
      <w:szCs w:val="21"/>
    </w:rPr>
  </w:style>
  <w:style w:type="character" w:customStyle="1" w:styleId="51">
    <w:name w:val="fontstyle01"/>
    <w:basedOn w:val="22"/>
    <w:uiPriority w:val="0"/>
    <w:rPr>
      <w:rFonts w:hint="default" w:ascii="仿宋" w:hAnsi="仿宋"/>
      <w:color w:val="000000"/>
      <w:sz w:val="32"/>
      <w:szCs w:val="32"/>
    </w:rPr>
  </w:style>
  <w:style w:type="character" w:customStyle="1" w:styleId="52">
    <w:name w:val="richtext3"/>
    <w:basedOn w:val="22"/>
    <w:uiPriority w:val="0"/>
  </w:style>
  <w:style w:type="character" w:customStyle="1" w:styleId="53">
    <w:name w:val="标题 Char"/>
    <w:basedOn w:val="22"/>
    <w:link w:val="19"/>
    <w:uiPriority w:val="0"/>
    <w:rPr>
      <w:rFonts w:ascii="Cambria" w:hAnsi="Cambria" w:eastAsia="仿宋"/>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Lenovo</Company>
  <Pages>32</Pages>
  <Words>2920</Words>
  <Characters>16650</Characters>
  <Lines>138</Lines>
  <Paragraphs>39</Paragraphs>
  <TotalTime>33</TotalTime>
  <ScaleCrop>false</ScaleCrop>
  <LinksUpToDate>false</LinksUpToDate>
  <CharactersWithSpaces>19531</CharactersWithSpaces>
  <Application>WWO_wpscloud_20211109144906-522e1e9f8d</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2023-05-11T02:03:00Z</dcterms:created>
  <dc:creator>chenyuxiang@shclearing.com</dc:creator>
  <cp:lastModifiedBy>沈斌</cp:lastModifiedBy>
  <cp:lastPrinted>2023-02-01T23:08:00Z</cp:lastPrinted>
  <dcterms:modified xsi:type="dcterms:W3CDTF">2023-06-16T16:02:47Z</dcterms:modified>
  <dc:title>自贸区大宗商品现货交易</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